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875160" w:rsidP="001E4AB6">
      <w:pPr>
        <w:spacing w:before="120" w:after="120" w:line="240" w:lineRule="auto"/>
        <w:rPr>
          <w:rFonts w:ascii="Arial" w:hAnsi="Arial" w:cs="Arial"/>
          <w:b/>
          <w:sz w:val="28"/>
          <w:szCs w:val="28"/>
        </w:rPr>
      </w:pPr>
      <w:r>
        <w:rPr>
          <w:rFonts w:ascii="Arial" w:hAnsi="Arial" w:cs="Arial"/>
          <w:b/>
          <w:sz w:val="28"/>
          <w:szCs w:val="28"/>
        </w:rPr>
        <w:t>Internal Audit Service progress report on implementation of the strategic internal audit plan: 2016/17 and beyond</w:t>
      </w:r>
    </w:p>
    <w:p w:rsidR="00F53626" w:rsidP="00F53626">
      <w:pPr>
        <w:pStyle w:val="ListParagraph"/>
        <w:numPr>
          <w:ilvl w:val="0"/>
          <w:numId w:val="15"/>
        </w:numPr>
        <w:spacing w:before="120" w:after="120" w:line="240" w:lineRule="auto"/>
        <w:ind w:left="567" w:hanging="567"/>
        <w:contextualSpacing w:val="0"/>
        <w:rPr>
          <w:rFonts w:ascii="Arial" w:hAnsi="Arial" w:cs="Arial"/>
          <w:b/>
          <w:sz w:val="24"/>
          <w:szCs w:val="24"/>
        </w:rPr>
      </w:pPr>
      <w:r w:rsidRPr="00F53626">
        <w:rPr>
          <w:rFonts w:ascii="Arial" w:hAnsi="Arial" w:cs="Arial"/>
          <w:b/>
          <w:sz w:val="24"/>
          <w:szCs w:val="24"/>
        </w:rPr>
        <w:t>Introduction</w:t>
      </w:r>
    </w:p>
    <w:p w:rsidR="00E96F8D" w:rsidP="00F53626">
      <w:pPr>
        <w:pStyle w:val="ListParagraph"/>
        <w:numPr>
          <w:ilvl w:val="1"/>
          <w:numId w:val="15"/>
        </w:numPr>
        <w:spacing w:before="120" w:after="120" w:line="240" w:lineRule="auto"/>
        <w:ind w:left="567" w:hanging="567"/>
        <w:contextualSpacing w:val="0"/>
        <w:rPr>
          <w:rFonts w:ascii="Arial" w:hAnsi="Arial" w:cs="Arial"/>
          <w:sz w:val="24"/>
          <w:szCs w:val="24"/>
        </w:rPr>
      </w:pPr>
      <w:r w:rsidRPr="00F53626">
        <w:rPr>
          <w:rFonts w:ascii="Arial" w:hAnsi="Arial" w:cs="Arial"/>
          <w:sz w:val="24"/>
          <w:szCs w:val="24"/>
        </w:rPr>
        <w:t xml:space="preserve">In January 2016 the Audit and Governance Committee considered and approved a strategic internal audit plan for 2015/16, 2016/17 and beyond, and the Internal Audit Service has been working to that plan </w:t>
      </w:r>
      <w:r>
        <w:rPr>
          <w:rFonts w:ascii="Arial" w:hAnsi="Arial" w:cs="Arial"/>
          <w:sz w:val="24"/>
          <w:szCs w:val="24"/>
        </w:rPr>
        <w:t>since then</w:t>
      </w:r>
      <w:r w:rsidRPr="00F53626">
        <w:rPr>
          <w:rFonts w:ascii="Arial" w:hAnsi="Arial" w:cs="Arial"/>
          <w:sz w:val="24"/>
          <w:szCs w:val="24"/>
        </w:rPr>
        <w:t xml:space="preserve">. </w:t>
      </w:r>
      <w:r>
        <w:rPr>
          <w:rFonts w:ascii="Arial" w:hAnsi="Arial" w:cs="Arial"/>
          <w:sz w:val="24"/>
          <w:szCs w:val="24"/>
        </w:rPr>
        <w:t xml:space="preserve">The </w:t>
      </w:r>
      <w:r w:rsidRPr="00F53626">
        <w:rPr>
          <w:rFonts w:ascii="Arial" w:hAnsi="Arial" w:cs="Arial"/>
          <w:sz w:val="24"/>
          <w:szCs w:val="24"/>
        </w:rPr>
        <w:t xml:space="preserve">work </w:t>
      </w:r>
      <w:r>
        <w:rPr>
          <w:rFonts w:ascii="Arial" w:hAnsi="Arial" w:cs="Arial"/>
          <w:sz w:val="24"/>
          <w:szCs w:val="24"/>
        </w:rPr>
        <w:t>scheduled for 2016/17 ha</w:t>
      </w:r>
      <w:r w:rsidRPr="00F53626">
        <w:rPr>
          <w:rFonts w:ascii="Arial" w:hAnsi="Arial" w:cs="Arial"/>
          <w:sz w:val="24"/>
          <w:szCs w:val="24"/>
        </w:rPr>
        <w:t xml:space="preserve">s </w:t>
      </w:r>
      <w:r>
        <w:rPr>
          <w:rFonts w:ascii="Arial" w:hAnsi="Arial" w:cs="Arial"/>
          <w:sz w:val="24"/>
          <w:szCs w:val="24"/>
        </w:rPr>
        <w:t>progress</w:t>
      </w:r>
      <w:r>
        <w:rPr>
          <w:rFonts w:ascii="Arial" w:hAnsi="Arial" w:cs="Arial"/>
          <w:sz w:val="24"/>
          <w:szCs w:val="24"/>
        </w:rPr>
        <w:t>ed well and the majority of the planned</w:t>
      </w:r>
      <w:r w:rsidRPr="00F53626">
        <w:rPr>
          <w:rFonts w:ascii="Arial" w:hAnsi="Arial" w:cs="Arial"/>
          <w:sz w:val="24"/>
          <w:szCs w:val="24"/>
        </w:rPr>
        <w:t xml:space="preserve"> audits </w:t>
      </w:r>
      <w:r>
        <w:rPr>
          <w:rFonts w:ascii="Arial" w:hAnsi="Arial" w:cs="Arial"/>
          <w:sz w:val="24"/>
          <w:szCs w:val="24"/>
        </w:rPr>
        <w:t>are now in progress or complete, although a small number have been superseded by other sources of assurance</w:t>
      </w:r>
      <w:r w:rsidRPr="00F53626">
        <w:rPr>
          <w:rFonts w:ascii="Arial" w:hAnsi="Arial" w:cs="Arial"/>
          <w:sz w:val="24"/>
          <w:szCs w:val="24"/>
        </w:rPr>
        <w:t>. The Audit and Governance Committee's terms of reference require it to consider periodic reports of i</w:t>
      </w:r>
      <w:r w:rsidRPr="00F53626">
        <w:rPr>
          <w:rFonts w:ascii="Arial" w:hAnsi="Arial" w:cs="Arial"/>
          <w:sz w:val="24"/>
          <w:szCs w:val="24"/>
        </w:rPr>
        <w:t>nternal audit activity and outcomes</w:t>
      </w:r>
      <w:r>
        <w:rPr>
          <w:rFonts w:ascii="Arial" w:hAnsi="Arial" w:cs="Arial"/>
          <w:sz w:val="24"/>
          <w:szCs w:val="24"/>
        </w:rPr>
        <w:t>,</w:t>
      </w:r>
      <w:r w:rsidRPr="00F53626">
        <w:rPr>
          <w:rFonts w:ascii="Arial" w:hAnsi="Arial" w:cs="Arial"/>
          <w:sz w:val="24"/>
          <w:szCs w:val="24"/>
        </w:rPr>
        <w:t xml:space="preserve"> and this report provides a summary </w:t>
      </w:r>
      <w:r>
        <w:rPr>
          <w:rFonts w:ascii="Arial" w:hAnsi="Arial" w:cs="Arial"/>
          <w:sz w:val="24"/>
          <w:szCs w:val="24"/>
        </w:rPr>
        <w:t>to support that task</w:t>
      </w:r>
      <w:r w:rsidRPr="00F53626">
        <w:rPr>
          <w:rFonts w:ascii="Arial" w:hAnsi="Arial" w:cs="Arial"/>
          <w:sz w:val="24"/>
          <w:szCs w:val="24"/>
        </w:rPr>
        <w:t>.</w:t>
      </w:r>
    </w:p>
    <w:p w:rsidR="00154B14" w:rsidRPr="00576A62" w:rsidP="00154B14">
      <w:pPr>
        <w:pStyle w:val="ListParagraph"/>
        <w:numPr>
          <w:ilvl w:val="0"/>
          <w:numId w:val="15"/>
        </w:numPr>
        <w:spacing w:before="120" w:after="120" w:line="240" w:lineRule="auto"/>
        <w:ind w:left="567" w:hanging="567"/>
        <w:contextualSpacing w:val="0"/>
        <w:rPr>
          <w:rFonts w:ascii="Arial" w:hAnsi="Arial" w:cs="Arial"/>
          <w:b/>
          <w:sz w:val="24"/>
          <w:szCs w:val="24"/>
        </w:rPr>
      </w:pPr>
      <w:r w:rsidRPr="00576A62">
        <w:rPr>
          <w:rFonts w:ascii="Arial" w:hAnsi="Arial" w:cs="Arial"/>
          <w:b/>
          <w:sz w:val="24"/>
          <w:szCs w:val="24"/>
        </w:rPr>
        <w:t>Amendments to the audit plan</w:t>
      </w:r>
    </w:p>
    <w:p w:rsidR="00FC7B72" w:rsidP="00FC7B72">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Small amendments to the plan have been reported to the Committee in September 2016 and January 2017 but there has been only one chang</w:t>
      </w:r>
      <w:r>
        <w:rPr>
          <w:rFonts w:ascii="Arial" w:hAnsi="Arial" w:cs="Arial"/>
          <w:sz w:val="24"/>
          <w:szCs w:val="24"/>
        </w:rPr>
        <w:t xml:space="preserve">e since then. </w:t>
      </w:r>
      <w:r>
        <w:rPr>
          <w:rFonts w:ascii="Arial" w:eastAsia="Times New Roman" w:hAnsi="Arial" w:cs="Arial"/>
          <w:lang w:eastAsia="en-GB"/>
        </w:rPr>
        <w:t xml:space="preserve">Following work by PricewaterhouseCoopers (PwC) to document the </w:t>
      </w:r>
      <w:r w:rsidRPr="00E1376D">
        <w:rPr>
          <w:rFonts w:ascii="Arial" w:eastAsia="Times New Roman" w:hAnsi="Arial" w:cs="Arial"/>
          <w:lang w:eastAsia="en-GB"/>
        </w:rPr>
        <w:t xml:space="preserve">framework of </w:t>
      </w:r>
      <w:r w:rsidRPr="004A78A5">
        <w:rPr>
          <w:rFonts w:ascii="Arial" w:eastAsia="Times New Roman" w:hAnsi="Arial" w:cs="Arial"/>
          <w:lang w:eastAsia="en-GB"/>
        </w:rPr>
        <w:t xml:space="preserve">controls </w:t>
      </w:r>
      <w:r>
        <w:rPr>
          <w:rFonts w:ascii="Arial" w:eastAsia="Times New Roman" w:hAnsi="Arial" w:cs="Arial"/>
          <w:lang w:eastAsia="en-GB"/>
        </w:rPr>
        <w:t xml:space="preserve">by which the Council oversees the work of the Lancashire Pension Fund, we have recently begun work to address </w:t>
      </w:r>
      <w:r>
        <w:rPr>
          <w:rFonts w:ascii="Arial" w:hAnsi="Arial" w:cs="Arial"/>
          <w:sz w:val="24"/>
          <w:szCs w:val="24"/>
        </w:rPr>
        <w:t>compliance with the shareholder agreement and t</w:t>
      </w:r>
      <w:r>
        <w:rPr>
          <w:rFonts w:ascii="Arial" w:hAnsi="Arial" w:cs="Arial"/>
          <w:sz w:val="24"/>
          <w:szCs w:val="24"/>
        </w:rPr>
        <w:t>he referral of matters reserved for the council to the council for decision. We previously reported that this work would not be undertaken.</w:t>
      </w:r>
    </w:p>
    <w:p w:rsidR="009B2AD0" w:rsidRPr="00886F7E" w:rsidP="00886F7E">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For completeness, the original plan</w:t>
      </w:r>
      <w:r w:rsidRPr="00886F7E">
        <w:rPr>
          <w:rFonts w:ascii="Arial" w:hAnsi="Arial" w:cs="Arial"/>
          <w:sz w:val="24"/>
          <w:szCs w:val="24"/>
        </w:rPr>
        <w:t xml:space="preserve"> </w:t>
      </w:r>
      <w:r>
        <w:rPr>
          <w:rFonts w:ascii="Arial" w:hAnsi="Arial" w:cs="Arial"/>
          <w:sz w:val="24"/>
          <w:szCs w:val="24"/>
        </w:rPr>
        <w:t xml:space="preserve">is set out in Appendix B and each piece of audit work planned for 2016/17 has </w:t>
      </w:r>
      <w:r>
        <w:rPr>
          <w:rFonts w:ascii="Arial" w:hAnsi="Arial" w:cs="Arial"/>
          <w:sz w:val="24"/>
          <w:szCs w:val="24"/>
        </w:rPr>
        <w:t>been accounted for, with a note of the assurance on each that, in our opinion, can be provided at this point.</w:t>
      </w:r>
    </w:p>
    <w:p w:rsidR="009955D4" w:rsidRPr="00195311" w:rsidP="00154B14">
      <w:pPr>
        <w:pStyle w:val="ListParagraph"/>
        <w:numPr>
          <w:ilvl w:val="0"/>
          <w:numId w:val="15"/>
        </w:numPr>
        <w:spacing w:before="120" w:after="120" w:line="240" w:lineRule="auto"/>
        <w:ind w:left="567" w:hanging="567"/>
        <w:contextualSpacing w:val="0"/>
        <w:rPr>
          <w:rFonts w:ascii="Arial" w:hAnsi="Arial" w:cs="Arial"/>
          <w:b/>
          <w:sz w:val="24"/>
          <w:szCs w:val="24"/>
        </w:rPr>
      </w:pPr>
      <w:r w:rsidRPr="00195311">
        <w:rPr>
          <w:rFonts w:ascii="Arial" w:hAnsi="Arial" w:cs="Arial"/>
          <w:b/>
          <w:sz w:val="24"/>
          <w:szCs w:val="24"/>
        </w:rPr>
        <w:t>Internal Audit Service resources</w:t>
      </w:r>
    </w:p>
    <w:p w:rsidR="00407EFC"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The Committee was informed in January 2017 that the </w:t>
      </w:r>
      <w:r w:rsidRPr="00782395">
        <w:rPr>
          <w:rFonts w:ascii="Arial" w:hAnsi="Arial" w:cs="Arial"/>
          <w:sz w:val="24"/>
          <w:szCs w:val="24"/>
        </w:rPr>
        <w:t xml:space="preserve">resources available to the service </w:t>
      </w:r>
      <w:r>
        <w:rPr>
          <w:rFonts w:ascii="Arial" w:hAnsi="Arial" w:cs="Arial"/>
          <w:sz w:val="24"/>
          <w:szCs w:val="24"/>
        </w:rPr>
        <w:t>had</w:t>
      </w:r>
      <w:r w:rsidRPr="00782395">
        <w:rPr>
          <w:rFonts w:ascii="Arial" w:hAnsi="Arial" w:cs="Arial"/>
          <w:sz w:val="24"/>
          <w:szCs w:val="24"/>
        </w:rPr>
        <w:t xml:space="preserve"> </w:t>
      </w:r>
      <w:r>
        <w:rPr>
          <w:rFonts w:ascii="Arial" w:hAnsi="Arial" w:cs="Arial"/>
          <w:sz w:val="24"/>
          <w:szCs w:val="24"/>
        </w:rPr>
        <w:t>been agreed and all of</w:t>
      </w:r>
      <w:r>
        <w:rPr>
          <w:rFonts w:ascii="Arial" w:hAnsi="Arial" w:cs="Arial"/>
          <w:sz w:val="24"/>
          <w:szCs w:val="24"/>
        </w:rPr>
        <w:t xml:space="preserve"> the auditor and senior auditor posts had recently been filled. Following the departure of one of the two audit managers in December, that vacancy has also been filled and a new audit manager will start work at the Council on 3 April 2017.</w:t>
      </w:r>
    </w:p>
    <w:p w:rsidR="00B30E15"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The service has </w:t>
      </w:r>
      <w:r>
        <w:rPr>
          <w:rFonts w:ascii="Arial" w:hAnsi="Arial" w:cs="Arial"/>
          <w:sz w:val="24"/>
          <w:szCs w:val="24"/>
        </w:rPr>
        <w:t>also recruited a graduate trainee internal auditor who will pursue qualification as a certified internal auditor with the Chartered Institute of Internal Auditors on a two-year training contract, and she started work in the team on 27 March.</w:t>
      </w:r>
    </w:p>
    <w:p w:rsidR="008D4345" w:rsidRPr="008D4345" w:rsidP="00F53626">
      <w:pPr>
        <w:pStyle w:val="ListParagraph"/>
        <w:numPr>
          <w:ilvl w:val="0"/>
          <w:numId w:val="15"/>
        </w:numPr>
        <w:spacing w:before="120" w:after="120" w:line="240" w:lineRule="auto"/>
        <w:ind w:left="567" w:hanging="567"/>
        <w:contextualSpacing w:val="0"/>
        <w:rPr>
          <w:rFonts w:ascii="Arial" w:hAnsi="Arial" w:cs="Arial"/>
          <w:b/>
          <w:sz w:val="24"/>
          <w:szCs w:val="24"/>
        </w:rPr>
      </w:pPr>
      <w:r>
        <w:rPr>
          <w:rFonts w:ascii="Arial" w:hAnsi="Arial" w:cs="Arial"/>
          <w:b/>
          <w:sz w:val="24"/>
          <w:szCs w:val="24"/>
        </w:rPr>
        <w:t>Findings arisi</w:t>
      </w:r>
      <w:r>
        <w:rPr>
          <w:rFonts w:ascii="Arial" w:hAnsi="Arial" w:cs="Arial"/>
          <w:b/>
          <w:sz w:val="24"/>
          <w:szCs w:val="24"/>
        </w:rPr>
        <w:t>ng from the i</w:t>
      </w:r>
      <w:r w:rsidRPr="008D4345">
        <w:rPr>
          <w:rFonts w:ascii="Arial" w:hAnsi="Arial" w:cs="Arial"/>
          <w:b/>
          <w:sz w:val="24"/>
          <w:szCs w:val="24"/>
        </w:rPr>
        <w:t xml:space="preserve">nternal audit work </w:t>
      </w:r>
      <w:r>
        <w:rPr>
          <w:rFonts w:ascii="Arial" w:hAnsi="Arial" w:cs="Arial"/>
          <w:b/>
          <w:sz w:val="24"/>
          <w:szCs w:val="24"/>
        </w:rPr>
        <w:t>completed to date</w:t>
      </w:r>
    </w:p>
    <w:p w:rsidR="00BB13D8"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Committee's attention has previously been drawn to the existence of a number of areas of the Council's operations that are subject to too much turbulence to be audited, and areas where managers could no</w:t>
      </w:r>
      <w:r>
        <w:rPr>
          <w:rFonts w:ascii="Arial" w:hAnsi="Arial" w:cs="Arial"/>
          <w:sz w:val="24"/>
          <w:szCs w:val="24"/>
        </w:rPr>
        <w:t xml:space="preserve">t themselves provide assurance over the adequacy and effectiveness of controls. It has also been made aware of the limited assurance effectively provided by both PwC </w:t>
      </w:r>
      <w:r>
        <w:rPr>
          <w:rFonts w:ascii="Arial" w:hAnsi="Arial" w:cs="Arial"/>
          <w:sz w:val="24"/>
          <w:szCs w:val="24"/>
        </w:rPr>
        <w:t>(in respect of the Council's financial position and capacity to make the necessary fina</w:t>
      </w:r>
      <w:r>
        <w:rPr>
          <w:rFonts w:ascii="Arial" w:hAnsi="Arial" w:cs="Arial"/>
          <w:sz w:val="24"/>
          <w:szCs w:val="24"/>
        </w:rPr>
        <w:t>ncial savings)</w:t>
      </w:r>
      <w:r w:rsidRPr="007D6951">
        <w:rPr>
          <w:rFonts w:ascii="Arial" w:hAnsi="Arial" w:cs="Arial"/>
          <w:sz w:val="24"/>
          <w:szCs w:val="24"/>
        </w:rPr>
        <w:t xml:space="preserve"> </w:t>
      </w:r>
      <w:r>
        <w:rPr>
          <w:rFonts w:ascii="Arial" w:hAnsi="Arial" w:cs="Arial"/>
          <w:sz w:val="24"/>
          <w:szCs w:val="24"/>
        </w:rPr>
        <w:t xml:space="preserve">and Ofsted (in respect of children's social care). The Internal Audit Service's own work has generated some positive assurance, but also only limited assurance over a key control in adult social care – professional supervision – and a key </w:t>
      </w:r>
      <w:r>
        <w:rPr>
          <w:rFonts w:ascii="Arial" w:hAnsi="Arial" w:cs="Arial"/>
          <w:sz w:val="24"/>
          <w:szCs w:val="24"/>
        </w:rPr>
        <w:t>financial control – accounts receivable and debt management.</w:t>
      </w:r>
    </w:p>
    <w:p w:rsidR="007D6951"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In light of this information the Internal Audit Service will be able to provide no more than limited assurance overall for 2016/17, although </w:t>
      </w:r>
      <w:r>
        <w:rPr>
          <w:rFonts w:ascii="Arial" w:hAnsi="Arial" w:cs="Arial"/>
          <w:sz w:val="24"/>
          <w:szCs w:val="24"/>
        </w:rPr>
        <w:t>th</w:t>
      </w:r>
      <w:r>
        <w:rPr>
          <w:rFonts w:ascii="Arial" w:hAnsi="Arial" w:cs="Arial"/>
          <w:sz w:val="24"/>
          <w:szCs w:val="24"/>
        </w:rPr>
        <w:t>e final outcomes of all the audit work for the year will be available only in June 2017.</w:t>
      </w:r>
    </w:p>
    <w:p w:rsidR="00321A20"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However as was noted in January 2017, despite the instability arising from the changes taking place across the Council, there are some areas where strong control is </w:t>
      </w:r>
      <w:r>
        <w:rPr>
          <w:rFonts w:ascii="Arial" w:hAnsi="Arial" w:cs="Arial"/>
          <w:sz w:val="24"/>
          <w:szCs w:val="24"/>
        </w:rPr>
        <w:t xml:space="preserve">exerted over the services being provided and systems operated. In particular, as </w:t>
      </w:r>
      <w:r w:rsidR="00CC7DF1">
        <w:rPr>
          <w:rFonts w:ascii="Arial" w:hAnsi="Arial" w:cs="Arial"/>
          <w:sz w:val="24"/>
          <w:szCs w:val="24"/>
        </w:rPr>
        <w:t>previously reported</w:t>
      </w:r>
      <w:r>
        <w:rPr>
          <w:rFonts w:ascii="Arial" w:hAnsi="Arial" w:cs="Arial"/>
          <w:sz w:val="24"/>
          <w:szCs w:val="24"/>
        </w:rPr>
        <w:t>, we have provided full assurance over the provision of school places.</w:t>
      </w:r>
    </w:p>
    <w:p w:rsidR="00674033"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One common theme across a number of areas though is inappropriate access to systems </w:t>
      </w:r>
      <w:r>
        <w:rPr>
          <w:rFonts w:ascii="Arial" w:hAnsi="Arial" w:cs="Arial"/>
          <w:sz w:val="24"/>
          <w:szCs w:val="24"/>
        </w:rPr>
        <w:t>available to officers who no longer need it, or whose roles do not require it. This issue is known to the Council's management and it is being considered as part of the Council's wider development of improved ICT systems.</w:t>
      </w:r>
    </w:p>
    <w:p w:rsidR="00D47007" w:rsidRPr="00102089"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A brief summary of the assurance w</w:t>
      </w:r>
      <w:r>
        <w:rPr>
          <w:rFonts w:ascii="Arial" w:hAnsi="Arial" w:cs="Arial"/>
          <w:sz w:val="24"/>
          <w:szCs w:val="24"/>
        </w:rPr>
        <w:t>e have provided for each of the audits relating to 2016/17 and completed by the end of February 2017 is provided in the table below.</w:t>
      </w:r>
    </w:p>
    <w:tbl>
      <w:tblPr>
        <w:tblStyle w:val="TableGrid"/>
        <w:tblW w:w="0" w:type="auto"/>
        <w:tblInd w:w="426" w:type="dxa"/>
        <w:tblLook w:val="04A0"/>
      </w:tblPr>
      <w:tblGrid>
        <w:gridCol w:w="5806"/>
        <w:gridCol w:w="3231"/>
      </w:tblGrid>
      <w:tr w:rsidTr="00435B1B">
        <w:tblPrEx>
          <w:tblW w:w="0" w:type="auto"/>
          <w:tblInd w:w="426" w:type="dxa"/>
          <w:tblLook w:val="04A0"/>
        </w:tblPrEx>
        <w:trPr>
          <w:tblHeader/>
        </w:trPr>
        <w:tc>
          <w:tcPr>
            <w:tcW w:w="5806" w:type="dxa"/>
            <w:tcBorders>
              <w:bottom w:val="single" w:sz="4" w:space="0" w:color="auto"/>
            </w:tcBorders>
            <w:shd w:val="clear" w:color="auto" w:fill="D9D9D9" w:themeFill="background1" w:themeFillShade="D9"/>
          </w:tcPr>
          <w:p w:rsidR="00B9614A" w:rsidRPr="00B9614A"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System</w:t>
            </w:r>
          </w:p>
        </w:tc>
        <w:tc>
          <w:tcPr>
            <w:tcW w:w="3231" w:type="dxa"/>
            <w:tcBorders>
              <w:bottom w:val="single" w:sz="4" w:space="0" w:color="auto"/>
            </w:tcBorders>
            <w:shd w:val="clear" w:color="auto" w:fill="D9D9D9" w:themeFill="background1" w:themeFillShade="D9"/>
          </w:tcPr>
          <w:p w:rsidR="00B9614A" w:rsidRPr="00B9614A"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Assurance</w:t>
            </w:r>
          </w:p>
        </w:tc>
      </w:tr>
      <w:tr w:rsidTr="00435B1B">
        <w:tblPrEx>
          <w:tblW w:w="0" w:type="auto"/>
          <w:tblInd w:w="426" w:type="dxa"/>
          <w:tblLook w:val="04A0"/>
        </w:tblPrEx>
        <w:tc>
          <w:tcPr>
            <w:tcW w:w="9037" w:type="dxa"/>
            <w:gridSpan w:val="2"/>
            <w:tcBorders>
              <w:top w:val="single" w:sz="4" w:space="0" w:color="auto"/>
            </w:tcBorders>
          </w:tcPr>
          <w:p w:rsidR="00967314" w:rsidRPr="00F53626" w:rsidP="00C5242C">
            <w:pPr>
              <w:pStyle w:val="ListParagraph"/>
              <w:spacing w:before="60" w:after="60"/>
              <w:ind w:left="0"/>
              <w:contextualSpacing w:val="0"/>
              <w:rPr>
                <w:rFonts w:ascii="Arial" w:hAnsi="Arial" w:cs="Arial"/>
              </w:rPr>
            </w:pPr>
            <w:r>
              <w:rPr>
                <w:rFonts w:ascii="Arial" w:eastAsia="Times New Roman" w:hAnsi="Arial" w:cs="Arial"/>
                <w:b/>
                <w:color w:val="000000"/>
                <w:lang w:eastAsia="en-GB"/>
              </w:rPr>
              <w:t>Governance and democratic oversight</w:t>
            </w:r>
          </w:p>
        </w:tc>
      </w:tr>
      <w:tr w:rsidTr="00B91C01">
        <w:tblPrEx>
          <w:tblW w:w="0" w:type="auto"/>
          <w:tblInd w:w="426" w:type="dxa"/>
          <w:tblLook w:val="04A0"/>
        </w:tblPrEx>
        <w:tc>
          <w:tcPr>
            <w:tcW w:w="5806" w:type="dxa"/>
          </w:tcPr>
          <w:p w:rsidR="00967314" w:rsidRPr="00F53626" w:rsidP="004656F6">
            <w:pPr>
              <w:pStyle w:val="ListParagraph"/>
              <w:spacing w:before="60" w:after="60"/>
              <w:ind w:left="0"/>
              <w:contextualSpacing w:val="0"/>
              <w:rPr>
                <w:rFonts w:ascii="Arial" w:hAnsi="Arial" w:cs="Arial"/>
              </w:rPr>
            </w:pPr>
            <w:r>
              <w:rPr>
                <w:rFonts w:ascii="Arial" w:hAnsi="Arial" w:cs="Arial"/>
              </w:rPr>
              <w:t>Documentation of the Council's governance arrangements</w:t>
            </w:r>
          </w:p>
        </w:tc>
        <w:tc>
          <w:tcPr>
            <w:tcW w:w="3231" w:type="dxa"/>
          </w:tcPr>
          <w:p w:rsidR="00407EFC" w:rsidRPr="00F53626" w:rsidP="005145D1">
            <w:pPr>
              <w:pStyle w:val="ListParagraph"/>
              <w:spacing w:before="60" w:after="60"/>
              <w:ind w:left="0"/>
              <w:contextualSpacing w:val="0"/>
              <w:rPr>
                <w:rFonts w:ascii="Arial" w:hAnsi="Arial" w:cs="Arial"/>
              </w:rPr>
            </w:pPr>
            <w:r>
              <w:rPr>
                <w:rFonts w:ascii="Arial" w:hAnsi="Arial" w:cs="Arial"/>
              </w:rPr>
              <w:t xml:space="preserve">Substantial </w:t>
            </w:r>
            <w:r>
              <w:rPr>
                <w:rFonts w:ascii="Arial" w:hAnsi="Arial" w:cs="Arial"/>
              </w:rPr>
              <w:t>(reported in January 2017)</w:t>
            </w:r>
          </w:p>
        </w:tc>
      </w:tr>
      <w:tr w:rsidTr="00B91C01">
        <w:tblPrEx>
          <w:tblW w:w="0" w:type="auto"/>
          <w:tblInd w:w="426" w:type="dxa"/>
          <w:tblLook w:val="04A0"/>
        </w:tblPrEx>
        <w:tc>
          <w:tcPr>
            <w:tcW w:w="9037" w:type="dxa"/>
            <w:gridSpan w:val="2"/>
          </w:tcPr>
          <w:p w:rsidR="00321A20" w:rsidRPr="00F53626" w:rsidP="00E929D0">
            <w:pPr>
              <w:pStyle w:val="ListParagraph"/>
              <w:spacing w:before="60" w:after="60"/>
              <w:ind w:left="0"/>
              <w:contextualSpacing w:val="0"/>
              <w:rPr>
                <w:rFonts w:ascii="Arial" w:hAnsi="Arial" w:cs="Arial"/>
              </w:rPr>
            </w:pPr>
            <w:r>
              <w:rPr>
                <w:rFonts w:ascii="Arial" w:eastAsia="Times New Roman" w:hAnsi="Arial" w:cs="Arial"/>
                <w:b/>
                <w:color w:val="000000"/>
                <w:lang w:eastAsia="en-GB"/>
              </w:rPr>
              <w:t>Business effectiveness</w:t>
            </w:r>
          </w:p>
        </w:tc>
      </w:tr>
      <w:tr w:rsidTr="00B91C01">
        <w:tblPrEx>
          <w:tblW w:w="0" w:type="auto"/>
          <w:tblInd w:w="426" w:type="dxa"/>
          <w:tblLook w:val="04A0"/>
        </w:tblPrEx>
        <w:tc>
          <w:tcPr>
            <w:tcW w:w="5806" w:type="dxa"/>
          </w:tcPr>
          <w:p w:rsidR="00321A20" w:rsidP="00321A20">
            <w:pPr>
              <w:pStyle w:val="ListParagraph"/>
              <w:spacing w:before="60" w:after="60"/>
              <w:ind w:left="0"/>
              <w:contextualSpacing w:val="0"/>
              <w:rPr>
                <w:rFonts w:ascii="Arial" w:hAnsi="Arial" w:cs="Arial"/>
              </w:rPr>
            </w:pPr>
            <w:r>
              <w:rPr>
                <w:rFonts w:ascii="Arial" w:hAnsi="Arial" w:cs="Arial"/>
              </w:rPr>
              <w:t>Preparation and use of the risk register</w:t>
            </w:r>
          </w:p>
        </w:tc>
        <w:tc>
          <w:tcPr>
            <w:tcW w:w="3231" w:type="dxa"/>
          </w:tcPr>
          <w:p w:rsidR="00407EFC" w:rsidP="00C5242C">
            <w:pPr>
              <w:pStyle w:val="ListParagraph"/>
              <w:spacing w:before="60" w:after="60"/>
              <w:ind w:left="0"/>
              <w:contextualSpacing w:val="0"/>
              <w:rPr>
                <w:rFonts w:ascii="Arial" w:hAnsi="Arial" w:cs="Arial"/>
              </w:rPr>
            </w:pPr>
            <w:r>
              <w:rPr>
                <w:rFonts w:ascii="Arial" w:hAnsi="Arial" w:cs="Arial"/>
              </w:rPr>
              <w:t>Substantial (reported in January 2017)</w:t>
            </w:r>
          </w:p>
        </w:tc>
      </w:tr>
      <w:tr w:rsidTr="00B91C01">
        <w:tblPrEx>
          <w:tblW w:w="0" w:type="auto"/>
          <w:tblInd w:w="426" w:type="dxa"/>
          <w:tblLook w:val="04A0"/>
        </w:tblPrEx>
        <w:tc>
          <w:tcPr>
            <w:tcW w:w="9037" w:type="dxa"/>
            <w:gridSpan w:val="2"/>
          </w:tcPr>
          <w:p w:rsidR="00F102AC" w:rsidRPr="00F53626"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Pr>
                <w:rFonts w:ascii="Arial" w:eastAsia="Times New Roman" w:hAnsi="Arial" w:cs="Arial"/>
                <w:b/>
                <w:bCs/>
                <w:color w:val="000000"/>
                <w:lang w:eastAsia="en-GB"/>
              </w:rPr>
              <w:t>adult's services</w:t>
            </w:r>
          </w:p>
        </w:tc>
      </w:tr>
      <w:tr w:rsidTr="00B91C01">
        <w:tblPrEx>
          <w:tblW w:w="0" w:type="auto"/>
          <w:tblInd w:w="426" w:type="dxa"/>
          <w:tblLook w:val="04A0"/>
        </w:tblPrEx>
        <w:tc>
          <w:tcPr>
            <w:tcW w:w="5806" w:type="dxa"/>
          </w:tcPr>
          <w:p w:rsidR="00F102AC" w:rsidRPr="00F53626"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lang w:eastAsia="en-GB"/>
              </w:rPr>
              <w:t xml:space="preserve">Case management: supervision and support to front-line social workers to ensure </w:t>
            </w:r>
            <w:r w:rsidRPr="00534482">
              <w:rPr>
                <w:rFonts w:ascii="Arial" w:eastAsia="Times New Roman" w:hAnsi="Arial" w:cs="Arial"/>
                <w:lang w:eastAsia="en-GB"/>
              </w:rPr>
              <w:t>safeguarding of service users</w:t>
            </w:r>
          </w:p>
        </w:tc>
        <w:tc>
          <w:tcPr>
            <w:tcW w:w="3231" w:type="dxa"/>
          </w:tcPr>
          <w:p w:rsidR="00407EFC" w:rsidRPr="00F53626" w:rsidP="005145D1">
            <w:pPr>
              <w:pStyle w:val="ListParagraph"/>
              <w:spacing w:before="60" w:after="60"/>
              <w:ind w:left="0"/>
              <w:contextualSpacing w:val="0"/>
              <w:rPr>
                <w:rFonts w:ascii="Arial" w:hAnsi="Arial" w:cs="Arial"/>
              </w:rPr>
            </w:pPr>
            <w:r>
              <w:rPr>
                <w:rFonts w:ascii="Arial" w:hAnsi="Arial" w:cs="Arial"/>
              </w:rPr>
              <w:t>Limited (reported in January 2017)</w:t>
            </w:r>
          </w:p>
        </w:tc>
      </w:tr>
      <w:tr w:rsidTr="00B91C01">
        <w:tblPrEx>
          <w:tblW w:w="0" w:type="auto"/>
          <w:tblInd w:w="426" w:type="dxa"/>
          <w:tblLook w:val="04A0"/>
        </w:tblPrEx>
        <w:tc>
          <w:tcPr>
            <w:tcW w:w="9037" w:type="dxa"/>
            <w:gridSpan w:val="2"/>
          </w:tcPr>
          <w:p w:rsidR="00F01D12" w:rsidRPr="00F53626"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Pr>
                <w:rFonts w:ascii="Arial" w:eastAsia="Times New Roman" w:hAnsi="Arial" w:cs="Arial"/>
                <w:b/>
                <w:bCs/>
                <w:color w:val="000000"/>
                <w:lang w:eastAsia="en-GB"/>
              </w:rPr>
              <w:t>public health and wellbeing services</w:t>
            </w:r>
          </w:p>
        </w:tc>
      </w:tr>
      <w:tr w:rsidTr="00B91C01">
        <w:tblPrEx>
          <w:tblW w:w="0" w:type="auto"/>
          <w:tblInd w:w="426" w:type="dxa"/>
          <w:tblLook w:val="04A0"/>
        </w:tblPrEx>
        <w:tc>
          <w:tcPr>
            <w:tcW w:w="5806" w:type="dxa"/>
          </w:tcPr>
          <w:p w:rsidR="00F01D12" w:rsidRPr="00F53626"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Commissioning and oversight of commissioned public health service provision</w:t>
            </w:r>
          </w:p>
        </w:tc>
        <w:tc>
          <w:tcPr>
            <w:tcW w:w="3231" w:type="dxa"/>
          </w:tcPr>
          <w:p w:rsidR="00407EFC" w:rsidRPr="00F53626" w:rsidP="00B97AB2">
            <w:pPr>
              <w:pStyle w:val="ListParagraph"/>
              <w:spacing w:before="60" w:after="60"/>
              <w:ind w:left="0"/>
              <w:contextualSpacing w:val="0"/>
              <w:rPr>
                <w:rFonts w:ascii="Arial" w:hAnsi="Arial" w:cs="Arial"/>
              </w:rPr>
            </w:pPr>
            <w:r>
              <w:rPr>
                <w:rFonts w:ascii="Arial" w:hAnsi="Arial" w:cs="Arial"/>
              </w:rPr>
              <w:t>Substantial (reported in January 2017)</w:t>
            </w:r>
          </w:p>
        </w:tc>
      </w:tr>
      <w:tr w:rsidTr="00B91C01">
        <w:tblPrEx>
          <w:tblW w:w="0" w:type="auto"/>
          <w:tblInd w:w="426" w:type="dxa"/>
          <w:tblLook w:val="04A0"/>
        </w:tblPrEx>
        <w:tc>
          <w:tcPr>
            <w:tcW w:w="5806" w:type="dxa"/>
          </w:tcPr>
          <w:p w:rsidR="00F01D12" w:rsidRPr="00534482" w:rsidP="00140B58">
            <w:pPr>
              <w:pStyle w:val="ListParagraph"/>
              <w:spacing w:before="60" w:after="60"/>
              <w:ind w:left="0"/>
              <w:contextualSpacing w:val="0"/>
              <w:rPr>
                <w:rFonts w:ascii="Arial" w:eastAsia="Times New Roman" w:hAnsi="Arial" w:cs="Arial"/>
                <w:color w:val="000000"/>
                <w:lang w:eastAsia="en-GB"/>
              </w:rPr>
            </w:pPr>
            <w:r w:rsidRPr="00534482">
              <w:rPr>
                <w:rFonts w:ascii="Arial" w:eastAsia="Times New Roman" w:hAnsi="Arial" w:cs="Arial"/>
                <w:color w:val="000000"/>
                <w:lang w:eastAsia="en-GB"/>
              </w:rPr>
              <w:t xml:space="preserve">Operation of the </w:t>
            </w:r>
            <w:r w:rsidRPr="00534482">
              <w:rPr>
                <w:rFonts w:ascii="Arial" w:eastAsia="Times New Roman" w:hAnsi="Arial" w:cs="Arial"/>
                <w:color w:val="000000"/>
                <w:lang w:eastAsia="en-GB"/>
              </w:rPr>
              <w:t>Health and Wellbeing Board</w:t>
            </w:r>
          </w:p>
        </w:tc>
        <w:tc>
          <w:tcPr>
            <w:tcW w:w="3231" w:type="dxa"/>
          </w:tcPr>
          <w:p w:rsidR="00407EFC" w:rsidRPr="00F53626" w:rsidP="00140B58">
            <w:pPr>
              <w:pStyle w:val="ListParagraph"/>
              <w:spacing w:before="60" w:after="60"/>
              <w:ind w:left="0"/>
              <w:contextualSpacing w:val="0"/>
              <w:rPr>
                <w:rFonts w:ascii="Arial" w:hAnsi="Arial" w:cs="Arial"/>
              </w:rPr>
            </w:pPr>
            <w:r>
              <w:rPr>
                <w:rFonts w:ascii="Arial" w:hAnsi="Arial" w:cs="Arial"/>
              </w:rPr>
              <w:t>Substantial (reported in January 2017)</w:t>
            </w:r>
          </w:p>
        </w:tc>
      </w:tr>
      <w:tr w:rsidTr="00B91C01">
        <w:tblPrEx>
          <w:tblW w:w="0" w:type="auto"/>
          <w:tblInd w:w="426" w:type="dxa"/>
          <w:tblLook w:val="04A0"/>
        </w:tblPrEx>
        <w:tc>
          <w:tcPr>
            <w:tcW w:w="9037" w:type="dxa"/>
            <w:gridSpan w:val="2"/>
          </w:tcPr>
          <w:p w:rsidR="00F01D12" w:rsidRPr="00F53626"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Service delivery</w:t>
            </w:r>
            <w:r w:rsidRPr="0020343B">
              <w:rPr>
                <w:rFonts w:ascii="Arial" w:eastAsia="Times New Roman" w:hAnsi="Arial" w:cs="Arial"/>
                <w:b/>
                <w:bCs/>
                <w:color w:val="000000"/>
                <w:lang w:eastAsia="en-GB"/>
              </w:rPr>
              <w:t xml:space="preserve">: </w:t>
            </w:r>
            <w:r w:rsidRPr="0020343B">
              <w:rPr>
                <w:rFonts w:ascii="Arial" w:eastAsia="Times New Roman" w:hAnsi="Arial" w:cs="Arial"/>
                <w:b/>
                <w:color w:val="000000"/>
                <w:lang w:eastAsia="en-GB"/>
              </w:rPr>
              <w:t>corporate commissioning</w:t>
            </w:r>
          </w:p>
        </w:tc>
      </w:tr>
      <w:tr w:rsidTr="00B91C01">
        <w:tblPrEx>
          <w:tblW w:w="0" w:type="auto"/>
          <w:tblInd w:w="426" w:type="dxa"/>
          <w:tblLook w:val="04A0"/>
        </w:tblPrEx>
        <w:tc>
          <w:tcPr>
            <w:tcW w:w="5806" w:type="dxa"/>
          </w:tcPr>
          <w:p w:rsidR="00041BDC" w:rsidRPr="00534482" w:rsidP="00C5376A">
            <w:pPr>
              <w:pStyle w:val="ListParagraph"/>
              <w:spacing w:before="60" w:after="60"/>
              <w:ind w:left="0"/>
              <w:contextualSpacing w:val="0"/>
              <w:rPr>
                <w:rFonts w:ascii="Arial" w:eastAsia="Times New Roman" w:hAnsi="Arial" w:cs="Arial"/>
                <w:color w:val="000000"/>
                <w:lang w:eastAsia="en-GB"/>
              </w:rPr>
            </w:pPr>
            <w:r>
              <w:rPr>
                <w:rFonts w:ascii="Arial" w:eastAsia="Times New Roman" w:hAnsi="Arial" w:cs="Arial"/>
                <w:color w:val="000000"/>
                <w:lang w:eastAsia="en-GB"/>
              </w:rPr>
              <w:t>Operation of the Better Care Fund</w:t>
            </w:r>
          </w:p>
        </w:tc>
        <w:tc>
          <w:tcPr>
            <w:tcW w:w="3231" w:type="dxa"/>
          </w:tcPr>
          <w:p w:rsidR="00041BDC" w:rsidP="00C5376A">
            <w:pPr>
              <w:pStyle w:val="ListParagraph"/>
              <w:spacing w:before="60" w:after="60"/>
              <w:ind w:left="0"/>
              <w:contextualSpacing w:val="0"/>
              <w:rPr>
                <w:rFonts w:ascii="Arial" w:hAnsi="Arial" w:cs="Arial"/>
              </w:rPr>
            </w:pPr>
            <w:r>
              <w:rPr>
                <w:rFonts w:ascii="Arial" w:hAnsi="Arial" w:cs="Arial"/>
              </w:rPr>
              <w:t>Substantial (see below)</w:t>
            </w:r>
          </w:p>
        </w:tc>
      </w:tr>
      <w:tr w:rsidTr="00B91C01">
        <w:tblPrEx>
          <w:tblW w:w="0" w:type="auto"/>
          <w:tblInd w:w="426" w:type="dxa"/>
          <w:tblLook w:val="04A0"/>
        </w:tblPrEx>
        <w:tc>
          <w:tcPr>
            <w:tcW w:w="5806" w:type="dxa"/>
            <w:tcBorders>
              <w:bottom w:val="single" w:sz="4" w:space="0" w:color="auto"/>
            </w:tcBorders>
          </w:tcPr>
          <w:p w:rsidR="00F01D12" w:rsidRPr="00F53626"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lang w:eastAsia="en-GB"/>
              </w:rPr>
              <w:t>Provision of school places</w:t>
            </w:r>
          </w:p>
        </w:tc>
        <w:tc>
          <w:tcPr>
            <w:tcW w:w="3231" w:type="dxa"/>
            <w:tcBorders>
              <w:bottom w:val="single" w:sz="4" w:space="0" w:color="auto"/>
            </w:tcBorders>
          </w:tcPr>
          <w:p w:rsidR="00407EFC" w:rsidRPr="00F53626" w:rsidP="005145D1">
            <w:pPr>
              <w:pStyle w:val="ListParagraph"/>
              <w:spacing w:before="60" w:after="60"/>
              <w:ind w:left="0"/>
              <w:contextualSpacing w:val="0"/>
              <w:rPr>
                <w:rFonts w:ascii="Arial" w:hAnsi="Arial" w:cs="Arial"/>
              </w:rPr>
            </w:pPr>
            <w:r w:rsidRPr="00B97AB2">
              <w:rPr>
                <w:rFonts w:ascii="Arial" w:hAnsi="Arial" w:cs="Arial"/>
              </w:rPr>
              <w:t>Full</w:t>
            </w:r>
            <w:r>
              <w:rPr>
                <w:rFonts w:ascii="Arial" w:hAnsi="Arial" w:cs="Arial"/>
              </w:rPr>
              <w:t xml:space="preserve"> (reported in January 2017)</w:t>
            </w:r>
          </w:p>
        </w:tc>
      </w:tr>
      <w:tr w:rsidTr="00B91C01">
        <w:tblPrEx>
          <w:tblW w:w="0" w:type="auto"/>
          <w:tblInd w:w="426" w:type="dxa"/>
          <w:tblLook w:val="04A0"/>
        </w:tblPrEx>
        <w:tc>
          <w:tcPr>
            <w:tcW w:w="9037" w:type="dxa"/>
            <w:gridSpan w:val="2"/>
            <w:tcBorders>
              <w:top w:val="nil"/>
            </w:tcBorders>
          </w:tcPr>
          <w:p w:rsidR="00F102AC" w:rsidRPr="00F53626" w:rsidP="00642A9D">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Pr>
                <w:rFonts w:ascii="Arial" w:eastAsia="Times New Roman" w:hAnsi="Arial" w:cs="Arial"/>
                <w:b/>
                <w:color w:val="000000"/>
                <w:lang w:eastAsia="en-GB"/>
              </w:rPr>
              <w:t>e</w:t>
            </w:r>
            <w:r w:rsidRPr="00F53626">
              <w:rPr>
                <w:rFonts w:ascii="Arial" w:eastAsia="Times New Roman" w:hAnsi="Arial" w:cs="Arial"/>
                <w:b/>
                <w:color w:val="000000"/>
                <w:lang w:eastAsia="en-GB"/>
              </w:rPr>
              <w:t xml:space="preserve">conomic </w:t>
            </w:r>
            <w:r w:rsidRPr="00F53626">
              <w:rPr>
                <w:rFonts w:ascii="Arial" w:eastAsia="Times New Roman" w:hAnsi="Arial" w:cs="Arial"/>
                <w:b/>
                <w:color w:val="000000"/>
                <w:lang w:eastAsia="en-GB"/>
              </w:rPr>
              <w:t>development</w:t>
            </w:r>
          </w:p>
        </w:tc>
      </w:tr>
      <w:tr w:rsidTr="00B91C01">
        <w:tblPrEx>
          <w:tblW w:w="0" w:type="auto"/>
          <w:tblInd w:w="426" w:type="dxa"/>
          <w:tblLook w:val="04A0"/>
        </w:tblPrEx>
        <w:tc>
          <w:tcPr>
            <w:tcW w:w="5806" w:type="dxa"/>
          </w:tcPr>
          <w:p w:rsidR="00F102AC" w:rsidRPr="00F53626" w:rsidP="00642A9D">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 governance and accountability</w:t>
            </w:r>
          </w:p>
        </w:tc>
        <w:tc>
          <w:tcPr>
            <w:tcW w:w="3231" w:type="dxa"/>
          </w:tcPr>
          <w:p w:rsidR="00F102AC" w:rsidRPr="00F53626" w:rsidP="005145D1">
            <w:pPr>
              <w:pStyle w:val="ListParagraph"/>
              <w:spacing w:before="60" w:after="60"/>
              <w:ind w:left="0"/>
              <w:contextualSpacing w:val="0"/>
              <w:rPr>
                <w:rFonts w:ascii="Arial" w:hAnsi="Arial" w:cs="Arial"/>
              </w:rPr>
            </w:pPr>
            <w:r w:rsidRPr="00F53626">
              <w:rPr>
                <w:rFonts w:ascii="Arial" w:hAnsi="Arial" w:cs="Arial"/>
              </w:rPr>
              <w:t>Substantial</w:t>
            </w:r>
            <w:r>
              <w:rPr>
                <w:rFonts w:ascii="Arial" w:hAnsi="Arial" w:cs="Arial"/>
              </w:rPr>
              <w:t xml:space="preserve"> (reported in September 2016)</w:t>
            </w:r>
          </w:p>
        </w:tc>
      </w:tr>
      <w:tr w:rsidTr="00B91C01">
        <w:tblPrEx>
          <w:tblW w:w="0" w:type="auto"/>
          <w:tblInd w:w="426" w:type="dxa"/>
          <w:tblLook w:val="04A0"/>
        </w:tblPrEx>
        <w:tc>
          <w:tcPr>
            <w:tcW w:w="5806" w:type="dxa"/>
          </w:tcPr>
          <w:p w:rsidR="00F102AC" w:rsidRPr="00F53626" w:rsidP="00642A9D">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w:t>
            </w:r>
            <w:r>
              <w:rPr>
                <w:rFonts w:ascii="Arial" w:eastAsia="Times New Roman" w:hAnsi="Arial" w:cs="Arial"/>
                <w:color w:val="000000"/>
                <w:lang w:eastAsia="en-GB"/>
              </w:rPr>
              <w:t xml:space="preserve"> assurance framework</w:t>
            </w:r>
          </w:p>
        </w:tc>
        <w:tc>
          <w:tcPr>
            <w:tcW w:w="3231" w:type="dxa"/>
          </w:tcPr>
          <w:p w:rsidR="00F102AC" w:rsidRPr="00F53626" w:rsidP="005145D1">
            <w:pPr>
              <w:pStyle w:val="ListParagraph"/>
              <w:spacing w:before="60" w:after="60"/>
              <w:ind w:left="0"/>
              <w:contextualSpacing w:val="0"/>
              <w:rPr>
                <w:rFonts w:ascii="Arial" w:hAnsi="Arial" w:cs="Arial"/>
              </w:rPr>
            </w:pPr>
            <w:r w:rsidRPr="00153E4D">
              <w:rPr>
                <w:rFonts w:ascii="Arial" w:eastAsia="Times New Roman" w:hAnsi="Arial" w:cs="Arial"/>
                <w:lang w:eastAsia="en-GB"/>
              </w:rPr>
              <w:t>Substantial</w:t>
            </w:r>
            <w:r>
              <w:rPr>
                <w:rFonts w:ascii="Arial" w:eastAsia="Times New Roman" w:hAnsi="Arial" w:cs="Arial"/>
                <w:lang w:eastAsia="en-GB"/>
              </w:rPr>
              <w:t xml:space="preserve"> (r</w:t>
            </w:r>
            <w:r>
              <w:rPr>
                <w:rFonts w:ascii="Arial" w:hAnsi="Arial" w:cs="Arial"/>
              </w:rPr>
              <w:t>eported in September 2016)</w:t>
            </w:r>
          </w:p>
        </w:tc>
      </w:tr>
      <w:tr w:rsidTr="00B91C01">
        <w:tblPrEx>
          <w:tblW w:w="0" w:type="auto"/>
          <w:tblInd w:w="426" w:type="dxa"/>
          <w:tblLook w:val="04A0"/>
        </w:tblPrEx>
        <w:tc>
          <w:tcPr>
            <w:tcW w:w="9037" w:type="dxa"/>
            <w:gridSpan w:val="2"/>
          </w:tcPr>
          <w:p w:rsidR="00360E29" w:rsidRPr="00F53626" w:rsidP="008A2977">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Service delivery</w:t>
            </w:r>
            <w:r w:rsidRPr="0020343B">
              <w:rPr>
                <w:rFonts w:ascii="Arial" w:eastAsia="Times New Roman" w:hAnsi="Arial" w:cs="Arial"/>
                <w:b/>
                <w:bCs/>
                <w:color w:val="000000"/>
                <w:lang w:eastAsia="en-GB"/>
              </w:rPr>
              <w:t xml:space="preserve">: </w:t>
            </w:r>
            <w:r w:rsidRPr="0020343B">
              <w:rPr>
                <w:rFonts w:ascii="Arial" w:eastAsia="Times New Roman" w:hAnsi="Arial" w:cs="Arial"/>
                <w:b/>
                <w:color w:val="000000"/>
                <w:lang w:eastAsia="en-GB"/>
              </w:rPr>
              <w:t>emergency planning</w:t>
            </w:r>
          </w:p>
        </w:tc>
      </w:tr>
      <w:tr w:rsidTr="00435B1B">
        <w:tblPrEx>
          <w:tblW w:w="0" w:type="auto"/>
          <w:tblInd w:w="426" w:type="dxa"/>
          <w:tblLook w:val="04A0"/>
        </w:tblPrEx>
        <w:tc>
          <w:tcPr>
            <w:tcW w:w="5806" w:type="dxa"/>
            <w:tcBorders>
              <w:bottom w:val="single" w:sz="4" w:space="0" w:color="auto"/>
            </w:tcBorders>
          </w:tcPr>
          <w:p w:rsidR="00360E29" w:rsidRPr="00F53626" w:rsidP="008A2977">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Adequacy of the plans in place to address emergencies and civil contingencies</w:t>
            </w:r>
          </w:p>
        </w:tc>
        <w:tc>
          <w:tcPr>
            <w:tcW w:w="3231" w:type="dxa"/>
            <w:tcBorders>
              <w:bottom w:val="single" w:sz="4" w:space="0" w:color="auto"/>
            </w:tcBorders>
          </w:tcPr>
          <w:p w:rsidR="00407EFC" w:rsidRPr="00F53626" w:rsidP="008A2977">
            <w:pPr>
              <w:pStyle w:val="ListParagraph"/>
              <w:spacing w:before="60" w:after="60"/>
              <w:ind w:left="0"/>
              <w:contextualSpacing w:val="0"/>
              <w:rPr>
                <w:rFonts w:ascii="Arial" w:hAnsi="Arial" w:cs="Arial"/>
              </w:rPr>
            </w:pPr>
            <w:r>
              <w:rPr>
                <w:rFonts w:ascii="Arial" w:hAnsi="Arial" w:cs="Arial"/>
              </w:rPr>
              <w:t>Substantial (reported in January 2017)</w:t>
            </w:r>
          </w:p>
        </w:tc>
      </w:tr>
      <w:tr w:rsidTr="00435B1B">
        <w:tblPrEx>
          <w:tblW w:w="0" w:type="auto"/>
          <w:tblInd w:w="426" w:type="dxa"/>
          <w:tblLook w:val="04A0"/>
        </w:tblPrEx>
        <w:tc>
          <w:tcPr>
            <w:tcW w:w="5806" w:type="dxa"/>
            <w:tcBorders>
              <w:left w:val="nil"/>
              <w:bottom w:val="nil"/>
              <w:right w:val="nil"/>
            </w:tcBorders>
          </w:tcPr>
          <w:p w:rsidR="00435B1B" w:rsidRPr="00534482" w:rsidP="008A2977">
            <w:pPr>
              <w:pStyle w:val="ListParagraph"/>
              <w:spacing w:before="60" w:after="60"/>
              <w:ind w:left="0"/>
              <w:contextualSpacing w:val="0"/>
              <w:rPr>
                <w:rFonts w:ascii="Arial" w:eastAsia="Times New Roman" w:hAnsi="Arial" w:cs="Arial"/>
                <w:color w:val="000000"/>
                <w:lang w:eastAsia="en-GB"/>
              </w:rPr>
            </w:pPr>
          </w:p>
        </w:tc>
        <w:tc>
          <w:tcPr>
            <w:tcW w:w="3231" w:type="dxa"/>
            <w:tcBorders>
              <w:left w:val="nil"/>
              <w:bottom w:val="nil"/>
              <w:right w:val="nil"/>
            </w:tcBorders>
          </w:tcPr>
          <w:p w:rsidR="00435B1B" w:rsidP="008A2977">
            <w:pPr>
              <w:pStyle w:val="ListParagraph"/>
              <w:spacing w:before="60" w:after="60"/>
              <w:ind w:left="0"/>
              <w:contextualSpacing w:val="0"/>
              <w:rPr>
                <w:rFonts w:ascii="Arial" w:hAnsi="Arial" w:cs="Arial"/>
              </w:rPr>
            </w:pPr>
          </w:p>
        </w:tc>
      </w:tr>
      <w:tr w:rsidTr="00435B1B">
        <w:tblPrEx>
          <w:tblW w:w="0" w:type="auto"/>
          <w:tblInd w:w="426" w:type="dxa"/>
          <w:tblLook w:val="04A0"/>
        </w:tblPrEx>
        <w:tc>
          <w:tcPr>
            <w:tcW w:w="9037" w:type="dxa"/>
            <w:gridSpan w:val="2"/>
            <w:tcBorders>
              <w:top w:val="nil"/>
            </w:tcBorders>
          </w:tcPr>
          <w:p w:rsidR="00B91C01" w:rsidRPr="00F53626" w:rsidP="00435B1B">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Service delivery</w:t>
            </w:r>
            <w:r w:rsidRPr="0020343B">
              <w:rPr>
                <w:rFonts w:ascii="Arial" w:eastAsia="Times New Roman" w:hAnsi="Arial" w:cs="Arial"/>
                <w:b/>
                <w:bCs/>
                <w:color w:val="000000"/>
                <w:lang w:eastAsia="en-GB"/>
              </w:rPr>
              <w:t xml:space="preserve">: </w:t>
            </w:r>
            <w:r>
              <w:rPr>
                <w:rFonts w:ascii="Arial" w:eastAsia="Times New Roman" w:hAnsi="Arial" w:cs="Arial"/>
                <w:b/>
                <w:bCs/>
                <w:color w:val="000000"/>
                <w:lang w:eastAsia="en-GB"/>
              </w:rPr>
              <w:t>p</w:t>
            </w:r>
            <w:r>
              <w:rPr>
                <w:rFonts w:ascii="Arial" w:eastAsia="Times New Roman" w:hAnsi="Arial" w:cs="Arial"/>
                <w:b/>
                <w:color w:val="000000"/>
                <w:lang w:eastAsia="en-GB"/>
              </w:rPr>
              <w:t>ension fund administration</w:t>
            </w:r>
          </w:p>
        </w:tc>
      </w:tr>
      <w:tr w:rsidTr="00B91C01">
        <w:tblPrEx>
          <w:tblW w:w="0" w:type="auto"/>
          <w:tblInd w:w="426" w:type="dxa"/>
          <w:tblLook w:val="04A0"/>
        </w:tblPrEx>
        <w:tc>
          <w:tcPr>
            <w:tcW w:w="5806" w:type="dxa"/>
          </w:tcPr>
          <w:p w:rsidR="00CB0452" w:rsidRPr="00534482" w:rsidP="00B91C01">
            <w:pPr>
              <w:pStyle w:val="ListParagraph"/>
              <w:spacing w:before="60" w:after="60"/>
              <w:ind w:left="0"/>
              <w:contextualSpacing w:val="0"/>
              <w:rPr>
                <w:rFonts w:ascii="Arial" w:eastAsia="Times New Roman" w:hAnsi="Arial" w:cs="Arial"/>
                <w:color w:val="000000"/>
                <w:lang w:eastAsia="en-GB"/>
              </w:rPr>
            </w:pPr>
            <w:r>
              <w:rPr>
                <w:rFonts w:ascii="Arial" w:eastAsia="Times New Roman" w:hAnsi="Arial" w:cs="Arial"/>
                <w:color w:val="000000"/>
                <w:lang w:eastAsia="en-GB"/>
              </w:rPr>
              <w:t>Accounting for the fund</w:t>
            </w:r>
          </w:p>
        </w:tc>
        <w:tc>
          <w:tcPr>
            <w:tcW w:w="3231" w:type="dxa"/>
          </w:tcPr>
          <w:p w:rsidR="00CB0452" w:rsidP="008A2977">
            <w:pPr>
              <w:pStyle w:val="ListParagraph"/>
              <w:spacing w:before="60" w:after="60"/>
              <w:ind w:left="0"/>
              <w:contextualSpacing w:val="0"/>
              <w:rPr>
                <w:rFonts w:ascii="Arial" w:hAnsi="Arial" w:cs="Arial"/>
              </w:rPr>
            </w:pPr>
            <w:r>
              <w:rPr>
                <w:rFonts w:ascii="Arial" w:hAnsi="Arial" w:cs="Arial"/>
              </w:rPr>
              <w:t>Substantial (see below)</w:t>
            </w:r>
          </w:p>
        </w:tc>
      </w:tr>
      <w:tr w:rsidTr="00B91C01">
        <w:tblPrEx>
          <w:tblW w:w="0" w:type="auto"/>
          <w:tblInd w:w="426" w:type="dxa"/>
          <w:tblLook w:val="04A0"/>
        </w:tblPrEx>
        <w:tc>
          <w:tcPr>
            <w:tcW w:w="9037" w:type="dxa"/>
            <w:gridSpan w:val="2"/>
          </w:tcPr>
          <w:p w:rsidR="00360E29" w:rsidRPr="00F53626" w:rsidP="00360E29">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w:t>
            </w:r>
            <w:r>
              <w:rPr>
                <w:rFonts w:ascii="Arial" w:eastAsia="Times New Roman" w:hAnsi="Arial" w:cs="Arial"/>
                <w:b/>
                <w:bCs/>
                <w:color w:val="000000"/>
                <w:lang w:eastAsia="en-GB"/>
              </w:rPr>
              <w:t>support</w:t>
            </w:r>
            <w:r w:rsidRPr="0020343B">
              <w:rPr>
                <w:rFonts w:ascii="Arial" w:eastAsia="Times New Roman" w:hAnsi="Arial" w:cs="Arial"/>
                <w:b/>
                <w:bCs/>
                <w:color w:val="000000"/>
                <w:lang w:eastAsia="en-GB"/>
              </w:rPr>
              <w:t xml:space="preserve">: </w:t>
            </w:r>
            <w:r w:rsidRPr="00360E29">
              <w:rPr>
                <w:rFonts w:ascii="Arial" w:eastAsia="Times New Roman" w:hAnsi="Arial" w:cs="Arial"/>
                <w:b/>
                <w:bCs/>
                <w:color w:val="000000"/>
                <w:lang w:eastAsia="en-GB"/>
              </w:rPr>
              <w:t>b</w:t>
            </w:r>
            <w:r w:rsidRPr="00360E29">
              <w:rPr>
                <w:rFonts w:ascii="Arial" w:eastAsia="Times New Roman" w:hAnsi="Arial" w:cs="Arial"/>
                <w:b/>
                <w:color w:val="000000"/>
                <w:lang w:eastAsia="en-GB"/>
              </w:rPr>
              <w:t>usiness systems</w:t>
            </w:r>
          </w:p>
        </w:tc>
      </w:tr>
      <w:tr w:rsidTr="00B91C01">
        <w:tblPrEx>
          <w:tblW w:w="0" w:type="auto"/>
          <w:tblInd w:w="426" w:type="dxa"/>
          <w:tblLook w:val="04A0"/>
        </w:tblPrEx>
        <w:tc>
          <w:tcPr>
            <w:tcW w:w="5806" w:type="dxa"/>
          </w:tcPr>
          <w:p w:rsidR="00360E29" w:rsidRPr="00F53626" w:rsidP="0066595C">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Monitoring of the contract with BTLS</w:t>
            </w:r>
          </w:p>
        </w:tc>
        <w:tc>
          <w:tcPr>
            <w:tcW w:w="3231" w:type="dxa"/>
          </w:tcPr>
          <w:p w:rsidR="00407EFC" w:rsidRPr="00F53626" w:rsidP="0066595C">
            <w:pPr>
              <w:pStyle w:val="ListParagraph"/>
              <w:spacing w:before="60" w:after="60"/>
              <w:ind w:left="0"/>
              <w:contextualSpacing w:val="0"/>
              <w:rPr>
                <w:rFonts w:ascii="Arial" w:hAnsi="Arial" w:cs="Arial"/>
              </w:rPr>
            </w:pPr>
            <w:r>
              <w:rPr>
                <w:rFonts w:ascii="Arial" w:hAnsi="Arial" w:cs="Arial"/>
              </w:rPr>
              <w:t>Substantial (reported in January 2017)</w:t>
            </w:r>
          </w:p>
        </w:tc>
      </w:tr>
      <w:tr w:rsidTr="00B91C01">
        <w:tblPrEx>
          <w:tblW w:w="0" w:type="auto"/>
          <w:tblInd w:w="426" w:type="dxa"/>
          <w:tblLook w:val="04A0"/>
        </w:tblPrEx>
        <w:tc>
          <w:tcPr>
            <w:tcW w:w="9037" w:type="dxa"/>
            <w:gridSpan w:val="2"/>
          </w:tcPr>
          <w:p w:rsidR="00A34C4F" w:rsidRPr="00F53626" w:rsidP="00435B1B">
            <w:pPr>
              <w:pStyle w:val="ListParagraph"/>
              <w:spacing w:before="60" w:after="60"/>
              <w:ind w:left="0"/>
              <w:contextualSpacing w:val="0"/>
              <w:rPr>
                <w:rFonts w:ascii="Arial" w:hAnsi="Arial" w:cs="Arial"/>
              </w:rPr>
            </w:pPr>
            <w:r w:rsidRPr="00F53626">
              <w:rPr>
                <w:rFonts w:ascii="Arial" w:eastAsia="Times New Roman" w:hAnsi="Arial" w:cs="Arial"/>
                <w:b/>
                <w:color w:val="000000"/>
                <w:lang w:eastAsia="en-GB"/>
              </w:rPr>
              <w:t xml:space="preserve">Business processes: </w:t>
            </w:r>
            <w:r>
              <w:rPr>
                <w:rFonts w:ascii="Arial" w:eastAsia="Times New Roman" w:hAnsi="Arial" w:cs="Arial"/>
                <w:b/>
                <w:color w:val="000000"/>
                <w:lang w:eastAsia="en-GB"/>
              </w:rPr>
              <w:t>f</w:t>
            </w:r>
            <w:r w:rsidRPr="00F53626">
              <w:rPr>
                <w:rFonts w:ascii="Arial" w:eastAsia="Times New Roman" w:hAnsi="Arial" w:cs="Arial"/>
                <w:b/>
                <w:color w:val="000000"/>
                <w:lang w:eastAsia="en-GB"/>
              </w:rPr>
              <w:t>inancial processes</w:t>
            </w:r>
          </w:p>
        </w:tc>
      </w:tr>
      <w:tr w:rsidTr="00B91C01">
        <w:tblPrEx>
          <w:tblW w:w="0" w:type="auto"/>
          <w:tblInd w:w="426" w:type="dxa"/>
          <w:tblLook w:val="04A0"/>
        </w:tblPrEx>
        <w:tc>
          <w:tcPr>
            <w:tcW w:w="5806" w:type="dxa"/>
          </w:tcPr>
          <w:p w:rsidR="0083569E" w:rsidRPr="00F53626" w:rsidP="00BB13D8">
            <w:pPr>
              <w:pStyle w:val="ListParagraph"/>
              <w:spacing w:before="60" w:after="60"/>
              <w:ind w:left="0"/>
              <w:contextualSpacing w:val="0"/>
              <w:rPr>
                <w:rFonts w:ascii="Arial" w:hAnsi="Arial" w:cs="Arial"/>
              </w:rPr>
            </w:pPr>
            <w:r>
              <w:rPr>
                <w:rFonts w:ascii="Arial" w:hAnsi="Arial" w:cs="Arial"/>
              </w:rPr>
              <w:t>Oracle general ledger</w:t>
            </w:r>
          </w:p>
        </w:tc>
        <w:tc>
          <w:tcPr>
            <w:tcW w:w="3231" w:type="dxa"/>
          </w:tcPr>
          <w:p w:rsidR="0083569E" w:rsidRPr="00F53626" w:rsidP="005145D1">
            <w:pPr>
              <w:pStyle w:val="ListParagraph"/>
              <w:spacing w:before="60" w:after="60"/>
              <w:ind w:left="0"/>
              <w:contextualSpacing w:val="0"/>
              <w:rPr>
                <w:rFonts w:ascii="Arial" w:hAnsi="Arial" w:cs="Arial"/>
              </w:rPr>
            </w:pPr>
            <w:r>
              <w:rPr>
                <w:rFonts w:ascii="Arial" w:hAnsi="Arial" w:cs="Arial"/>
              </w:rPr>
              <w:t>Substantial (see below)</w:t>
            </w:r>
          </w:p>
        </w:tc>
      </w:tr>
      <w:tr w:rsidTr="00B91C01">
        <w:tblPrEx>
          <w:tblW w:w="0" w:type="auto"/>
          <w:tblInd w:w="426" w:type="dxa"/>
          <w:tblLook w:val="04A0"/>
        </w:tblPrEx>
        <w:tc>
          <w:tcPr>
            <w:tcW w:w="5806" w:type="dxa"/>
          </w:tcPr>
          <w:p w:rsidR="00A34C4F" w:rsidRPr="00F53626" w:rsidP="00BB13D8">
            <w:pPr>
              <w:pStyle w:val="ListParagraph"/>
              <w:spacing w:before="60" w:after="60"/>
              <w:ind w:left="0"/>
              <w:contextualSpacing w:val="0"/>
              <w:rPr>
                <w:rFonts w:ascii="Arial" w:hAnsi="Arial" w:cs="Arial"/>
              </w:rPr>
            </w:pPr>
            <w:r w:rsidRPr="00F53626">
              <w:rPr>
                <w:rFonts w:ascii="Arial" w:hAnsi="Arial" w:cs="Arial"/>
              </w:rPr>
              <w:t xml:space="preserve">Accounts receivable and debt management system (a centrally managed system with input </w:t>
            </w:r>
            <w:r w:rsidRPr="00F53626">
              <w:rPr>
                <w:rFonts w:ascii="Arial" w:hAnsi="Arial" w:cs="Arial"/>
              </w:rPr>
              <w:t>across the council)</w:t>
            </w:r>
          </w:p>
        </w:tc>
        <w:tc>
          <w:tcPr>
            <w:tcW w:w="3231" w:type="dxa"/>
          </w:tcPr>
          <w:p w:rsidR="00A34C4F" w:rsidRPr="00F53626" w:rsidP="005145D1">
            <w:pPr>
              <w:pStyle w:val="ListParagraph"/>
              <w:spacing w:before="60" w:after="60"/>
              <w:ind w:left="0"/>
              <w:contextualSpacing w:val="0"/>
              <w:rPr>
                <w:rFonts w:ascii="Arial" w:hAnsi="Arial" w:cs="Arial"/>
              </w:rPr>
            </w:pPr>
            <w:r w:rsidRPr="00F53626">
              <w:rPr>
                <w:rFonts w:ascii="Arial" w:hAnsi="Arial" w:cs="Arial"/>
              </w:rPr>
              <w:t>Limited</w:t>
            </w:r>
            <w:r>
              <w:rPr>
                <w:rFonts w:ascii="Arial" w:hAnsi="Arial" w:cs="Arial"/>
              </w:rPr>
              <w:t xml:space="preserve"> (reported in September 2016)</w:t>
            </w:r>
          </w:p>
        </w:tc>
      </w:tr>
      <w:tr w:rsidTr="00B91C01">
        <w:tblPrEx>
          <w:tblW w:w="0" w:type="auto"/>
          <w:tblInd w:w="426" w:type="dxa"/>
          <w:tblLook w:val="04A0"/>
        </w:tblPrEx>
        <w:tc>
          <w:tcPr>
            <w:tcW w:w="5806" w:type="dxa"/>
          </w:tcPr>
          <w:p w:rsidR="00A34C4F" w:rsidRPr="00F53626" w:rsidP="00140B58">
            <w:pPr>
              <w:pStyle w:val="ListParagraph"/>
              <w:spacing w:before="60" w:after="60"/>
              <w:ind w:left="0"/>
              <w:contextualSpacing w:val="0"/>
              <w:rPr>
                <w:rFonts w:ascii="Arial" w:hAnsi="Arial" w:cs="Arial"/>
              </w:rPr>
            </w:pPr>
            <w:r w:rsidRPr="00F53626">
              <w:rPr>
                <w:rFonts w:ascii="Arial" w:hAnsi="Arial" w:cs="Arial"/>
              </w:rPr>
              <w:t>Cash and banking (central functions)</w:t>
            </w:r>
          </w:p>
        </w:tc>
        <w:tc>
          <w:tcPr>
            <w:tcW w:w="3231" w:type="dxa"/>
          </w:tcPr>
          <w:p w:rsidR="00A34C4F" w:rsidRPr="00F53626" w:rsidP="005145D1">
            <w:pPr>
              <w:pStyle w:val="ListParagraph"/>
              <w:spacing w:before="60" w:after="60"/>
              <w:ind w:left="0"/>
              <w:contextualSpacing w:val="0"/>
              <w:rPr>
                <w:rFonts w:ascii="Arial" w:hAnsi="Arial" w:cs="Arial"/>
              </w:rPr>
            </w:pPr>
            <w:r w:rsidRPr="00F53626">
              <w:rPr>
                <w:rFonts w:ascii="Arial" w:hAnsi="Arial" w:cs="Arial"/>
              </w:rPr>
              <w:t>Substantial</w:t>
            </w:r>
            <w:r>
              <w:rPr>
                <w:rFonts w:ascii="Arial" w:hAnsi="Arial" w:cs="Arial"/>
              </w:rPr>
              <w:t xml:space="preserve"> (reported in September 2016)</w:t>
            </w:r>
          </w:p>
        </w:tc>
      </w:tr>
      <w:tr w:rsidTr="00B91C01">
        <w:tblPrEx>
          <w:tblW w:w="0" w:type="auto"/>
          <w:tblInd w:w="426" w:type="dxa"/>
          <w:tblLook w:val="04A0"/>
        </w:tblPrEx>
        <w:tc>
          <w:tcPr>
            <w:tcW w:w="5806" w:type="dxa"/>
          </w:tcPr>
          <w:p w:rsidR="0083569E" w:rsidRPr="00F53626" w:rsidP="00140B58">
            <w:pPr>
              <w:pStyle w:val="ListParagraph"/>
              <w:spacing w:before="60" w:after="60"/>
              <w:ind w:left="0"/>
              <w:contextualSpacing w:val="0"/>
              <w:rPr>
                <w:rFonts w:ascii="Arial" w:hAnsi="Arial" w:cs="Arial"/>
              </w:rPr>
            </w:pPr>
            <w:r>
              <w:rPr>
                <w:rFonts w:ascii="Arial" w:hAnsi="Arial" w:cs="Arial"/>
              </w:rPr>
              <w:t>Oversight of payroll payments</w:t>
            </w:r>
          </w:p>
        </w:tc>
        <w:tc>
          <w:tcPr>
            <w:tcW w:w="3231" w:type="dxa"/>
          </w:tcPr>
          <w:p w:rsidR="0083569E" w:rsidRPr="00F53626" w:rsidP="005145D1">
            <w:pPr>
              <w:pStyle w:val="ListParagraph"/>
              <w:spacing w:before="60" w:after="60"/>
              <w:ind w:left="0"/>
              <w:contextualSpacing w:val="0"/>
              <w:rPr>
                <w:rFonts w:ascii="Arial" w:hAnsi="Arial" w:cs="Arial"/>
              </w:rPr>
            </w:pPr>
            <w:r>
              <w:rPr>
                <w:rFonts w:ascii="Arial" w:hAnsi="Arial" w:cs="Arial"/>
              </w:rPr>
              <w:t>Substantial (see below)</w:t>
            </w:r>
          </w:p>
        </w:tc>
      </w:tr>
      <w:tr w:rsidTr="00B91C01">
        <w:tblPrEx>
          <w:tblW w:w="0" w:type="auto"/>
          <w:tblInd w:w="426" w:type="dxa"/>
          <w:tblLook w:val="04A0"/>
        </w:tblPrEx>
        <w:tc>
          <w:tcPr>
            <w:tcW w:w="9037" w:type="dxa"/>
            <w:gridSpan w:val="2"/>
          </w:tcPr>
          <w:p w:rsidR="00F53626" w:rsidRPr="00F53626" w:rsidP="00A34C4F">
            <w:pPr>
              <w:pStyle w:val="ListParagraph"/>
              <w:spacing w:before="60" w:after="60"/>
              <w:ind w:left="0"/>
              <w:contextualSpacing w:val="0"/>
              <w:rPr>
                <w:rFonts w:ascii="Arial" w:hAnsi="Arial" w:cs="Arial"/>
              </w:rPr>
            </w:pPr>
            <w:r w:rsidRPr="00F53626">
              <w:rPr>
                <w:rFonts w:ascii="Arial" w:eastAsia="Times New Roman" w:hAnsi="Arial" w:cs="Arial"/>
                <w:b/>
                <w:color w:val="000000"/>
                <w:lang w:eastAsia="en-GB"/>
              </w:rPr>
              <w:t xml:space="preserve">Business processes: </w:t>
            </w:r>
            <w:r>
              <w:rPr>
                <w:rFonts w:ascii="Arial" w:eastAsia="Times New Roman" w:hAnsi="Arial" w:cs="Arial"/>
                <w:b/>
                <w:color w:val="000000"/>
                <w:lang w:eastAsia="en-GB"/>
              </w:rPr>
              <w:t>procurement</w:t>
            </w:r>
          </w:p>
        </w:tc>
      </w:tr>
      <w:tr w:rsidTr="00B91C01">
        <w:tblPrEx>
          <w:tblW w:w="0" w:type="auto"/>
          <w:tblInd w:w="426" w:type="dxa"/>
          <w:tblLook w:val="04A0"/>
        </w:tblPrEx>
        <w:tc>
          <w:tcPr>
            <w:tcW w:w="5806" w:type="dxa"/>
          </w:tcPr>
          <w:p w:rsidR="00190986" w:rsidRPr="00F53626" w:rsidP="00E97342">
            <w:pPr>
              <w:pStyle w:val="ListParagraph"/>
              <w:spacing w:before="60" w:after="60"/>
              <w:ind w:left="0"/>
              <w:contextualSpacing w:val="0"/>
              <w:rPr>
                <w:rFonts w:ascii="Arial" w:hAnsi="Arial" w:cs="Arial"/>
              </w:rPr>
            </w:pPr>
            <w:r w:rsidRPr="00534482">
              <w:rPr>
                <w:rFonts w:ascii="Arial" w:eastAsia="Times New Roman" w:hAnsi="Arial" w:cs="Arial"/>
                <w:color w:val="000000"/>
                <w:lang w:eastAsia="en-GB"/>
              </w:rPr>
              <w:t>Central procurement: compliance</w:t>
            </w:r>
            <w:r w:rsidRPr="00534482">
              <w:rPr>
                <w:rFonts w:ascii="Arial" w:eastAsia="Times New Roman" w:hAnsi="Arial" w:cs="Arial"/>
                <w:color w:val="000000"/>
                <w:lang w:eastAsia="en-GB"/>
              </w:rPr>
              <w:t xml:space="preserve"> with legislation, financial regulations and standing orders</w:t>
            </w:r>
          </w:p>
        </w:tc>
        <w:tc>
          <w:tcPr>
            <w:tcW w:w="3231" w:type="dxa"/>
          </w:tcPr>
          <w:p w:rsidR="00407EFC" w:rsidRPr="00F53626" w:rsidP="00AE0C9C">
            <w:pPr>
              <w:pStyle w:val="ListParagraph"/>
              <w:spacing w:before="60" w:after="60"/>
              <w:ind w:left="0"/>
              <w:contextualSpacing w:val="0"/>
              <w:rPr>
                <w:rFonts w:ascii="Arial" w:hAnsi="Arial" w:cs="Arial"/>
              </w:rPr>
            </w:pPr>
            <w:r>
              <w:rPr>
                <w:rFonts w:ascii="Arial" w:hAnsi="Arial" w:cs="Arial"/>
              </w:rPr>
              <w:t>Substantial (reported in January 2017)</w:t>
            </w:r>
          </w:p>
        </w:tc>
      </w:tr>
    </w:tbl>
    <w:p w:rsidR="00425C55" w:rsidP="00425C55">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matters arising from the audits completed since mid-December 2016 are set out in the narrative below, and notes of the progress made on each audit on t</w:t>
      </w:r>
      <w:r>
        <w:rPr>
          <w:rFonts w:ascii="Arial" w:hAnsi="Arial" w:cs="Arial"/>
          <w:sz w:val="24"/>
          <w:szCs w:val="24"/>
        </w:rPr>
        <w:t>he plan for 2016/17 are set out in the table in Appendix B.</w:t>
      </w:r>
    </w:p>
    <w:p w:rsidR="0033598A" w:rsidP="003A2A02">
      <w:pPr>
        <w:pStyle w:val="ListParagraph"/>
        <w:spacing w:before="120" w:after="120" w:line="240" w:lineRule="auto"/>
        <w:ind w:left="567"/>
        <w:contextualSpacing w:val="0"/>
        <w:rPr>
          <w:rFonts w:ascii="Arial" w:hAnsi="Arial" w:cs="Arial"/>
          <w:sz w:val="24"/>
          <w:szCs w:val="24"/>
        </w:rPr>
      </w:pPr>
      <w:r>
        <w:rPr>
          <w:rFonts w:ascii="Arial" w:hAnsi="Arial" w:cs="Arial"/>
          <w:b/>
          <w:sz w:val="24"/>
          <w:szCs w:val="24"/>
        </w:rPr>
        <w:t xml:space="preserve">Administration of the </w:t>
      </w:r>
      <w:r w:rsidRPr="003A2A02">
        <w:rPr>
          <w:rFonts w:ascii="Arial" w:hAnsi="Arial" w:cs="Arial"/>
          <w:b/>
          <w:sz w:val="24"/>
          <w:szCs w:val="24"/>
        </w:rPr>
        <w:t>Better Care Fund</w:t>
      </w:r>
      <w:r>
        <w:rPr>
          <w:rFonts w:ascii="Arial" w:hAnsi="Arial" w:cs="Arial"/>
          <w:sz w:val="24"/>
          <w:szCs w:val="24"/>
        </w:rPr>
        <w:t>: substantial assurance</w:t>
      </w:r>
    </w:p>
    <w:p w:rsidR="003A2A02" w:rsidRPr="003A2A02" w:rsidP="003A2A02">
      <w:pPr>
        <w:pStyle w:val="ListParagraph"/>
        <w:numPr>
          <w:ilvl w:val="1"/>
          <w:numId w:val="15"/>
        </w:numPr>
        <w:spacing w:before="120" w:after="120" w:line="240" w:lineRule="auto"/>
        <w:ind w:left="567" w:hanging="567"/>
        <w:contextualSpacing w:val="0"/>
        <w:rPr>
          <w:rFonts w:ascii="Arial" w:hAnsi="Arial" w:cs="Arial"/>
          <w:sz w:val="24"/>
          <w:szCs w:val="24"/>
        </w:rPr>
      </w:pPr>
      <w:r w:rsidRPr="003A2A02">
        <w:rPr>
          <w:rFonts w:ascii="Arial" w:hAnsi="Arial" w:cs="Arial"/>
          <w:sz w:val="24"/>
          <w:szCs w:val="24"/>
        </w:rPr>
        <w:t xml:space="preserve">The Better Care Fund </w:t>
      </w:r>
      <w:r>
        <w:rPr>
          <w:rFonts w:ascii="Arial" w:hAnsi="Arial" w:cs="Arial"/>
          <w:sz w:val="24"/>
          <w:szCs w:val="24"/>
        </w:rPr>
        <w:t xml:space="preserve">(BCF) </w:t>
      </w:r>
      <w:r w:rsidRPr="003A2A02">
        <w:rPr>
          <w:rFonts w:ascii="Arial" w:hAnsi="Arial" w:cs="Arial"/>
          <w:sz w:val="24"/>
          <w:szCs w:val="24"/>
        </w:rPr>
        <w:t xml:space="preserve">was designed to promote integrated </w:t>
      </w:r>
      <w:r>
        <w:rPr>
          <w:rFonts w:ascii="Arial" w:hAnsi="Arial" w:cs="Arial"/>
          <w:sz w:val="24"/>
          <w:szCs w:val="24"/>
        </w:rPr>
        <w:t xml:space="preserve">and therefore more efficient and effective </w:t>
      </w:r>
      <w:r w:rsidRPr="003A2A02">
        <w:rPr>
          <w:rFonts w:ascii="Arial" w:hAnsi="Arial" w:cs="Arial"/>
          <w:sz w:val="24"/>
          <w:szCs w:val="24"/>
        </w:rPr>
        <w:t xml:space="preserve">working between health and </w:t>
      </w:r>
      <w:r w:rsidRPr="003A2A02">
        <w:rPr>
          <w:rFonts w:ascii="Arial" w:hAnsi="Arial" w:cs="Arial"/>
          <w:sz w:val="24"/>
          <w:szCs w:val="24"/>
        </w:rPr>
        <w:t>social care services. The pooled funding arrangements have been implemented and are operational, and serve as a first step in developing integrated working for the future.</w:t>
      </w:r>
    </w:p>
    <w:p w:rsidR="003A2A02" w:rsidRPr="00FC7B72" w:rsidP="003A2A02">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The </w:t>
      </w:r>
      <w:r w:rsidRPr="003A2A02">
        <w:rPr>
          <w:rFonts w:ascii="Arial" w:hAnsi="Arial" w:cs="Arial"/>
          <w:sz w:val="24"/>
          <w:szCs w:val="24"/>
        </w:rPr>
        <w:t xml:space="preserve">financial management arrangements in place within </w:t>
      </w:r>
      <w:r>
        <w:rPr>
          <w:rFonts w:ascii="Arial" w:hAnsi="Arial" w:cs="Arial"/>
          <w:sz w:val="24"/>
          <w:szCs w:val="24"/>
        </w:rPr>
        <w:t>the Council are effective, inc</w:t>
      </w:r>
      <w:r>
        <w:rPr>
          <w:rFonts w:ascii="Arial" w:hAnsi="Arial" w:cs="Arial"/>
          <w:sz w:val="24"/>
          <w:szCs w:val="24"/>
        </w:rPr>
        <w:t xml:space="preserve">luding specifically </w:t>
      </w:r>
      <w:r w:rsidRPr="003A2A02">
        <w:rPr>
          <w:rFonts w:ascii="Arial" w:hAnsi="Arial" w:cs="Arial"/>
          <w:sz w:val="24"/>
          <w:szCs w:val="24"/>
        </w:rPr>
        <w:t>the administration of receipts and payments from the pooled fund</w:t>
      </w:r>
      <w:r>
        <w:rPr>
          <w:rFonts w:ascii="Arial" w:hAnsi="Arial" w:cs="Arial"/>
          <w:sz w:val="24"/>
          <w:szCs w:val="24"/>
        </w:rPr>
        <w:t xml:space="preserve">. We </w:t>
      </w:r>
      <w:r w:rsidRPr="003A2A02">
        <w:rPr>
          <w:rFonts w:ascii="Arial" w:hAnsi="Arial" w:cs="Arial"/>
          <w:sz w:val="24"/>
          <w:szCs w:val="24"/>
        </w:rPr>
        <w:t xml:space="preserve">confirmed that the money </w:t>
      </w:r>
      <w:r w:rsidRPr="00FC7B72">
        <w:rPr>
          <w:rFonts w:ascii="Arial" w:hAnsi="Arial" w:cs="Arial"/>
          <w:sz w:val="24"/>
          <w:szCs w:val="24"/>
        </w:rPr>
        <w:t xml:space="preserve">allocated to each scheme in the BCF plan was correctly distributed, although the s75 agreement for 2016/17 has not </w:t>
      </w:r>
      <w:r>
        <w:rPr>
          <w:rFonts w:ascii="Arial" w:hAnsi="Arial" w:cs="Arial"/>
          <w:sz w:val="24"/>
          <w:szCs w:val="24"/>
        </w:rPr>
        <w:t xml:space="preserve">yet </w:t>
      </w:r>
      <w:r w:rsidRPr="00FC7B72">
        <w:rPr>
          <w:rFonts w:ascii="Arial" w:hAnsi="Arial" w:cs="Arial"/>
          <w:sz w:val="24"/>
          <w:szCs w:val="24"/>
        </w:rPr>
        <w:t>been finalised and sign</w:t>
      </w:r>
      <w:r w:rsidRPr="00FC7B72">
        <w:rPr>
          <w:rFonts w:ascii="Arial" w:hAnsi="Arial" w:cs="Arial"/>
          <w:sz w:val="24"/>
          <w:szCs w:val="24"/>
        </w:rPr>
        <w:t>ed by all its counterparties.</w:t>
      </w:r>
    </w:p>
    <w:p w:rsidR="00DA4382" w:rsidRPr="00674033" w:rsidP="00674033">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P</w:t>
      </w:r>
      <w:r w:rsidRPr="003A2A02">
        <w:rPr>
          <w:rFonts w:ascii="Arial" w:hAnsi="Arial" w:cs="Arial"/>
          <w:sz w:val="24"/>
          <w:szCs w:val="24"/>
        </w:rPr>
        <w:t xml:space="preserve">rocesses are in place to monitor the performance of service providers for schemes run by </w:t>
      </w:r>
      <w:r>
        <w:rPr>
          <w:rFonts w:ascii="Arial" w:hAnsi="Arial" w:cs="Arial"/>
          <w:sz w:val="24"/>
          <w:szCs w:val="24"/>
        </w:rPr>
        <w:t>the Council</w:t>
      </w:r>
      <w:r w:rsidRPr="003A2A02">
        <w:rPr>
          <w:rFonts w:ascii="Arial" w:hAnsi="Arial" w:cs="Arial"/>
          <w:sz w:val="24"/>
          <w:szCs w:val="24"/>
        </w:rPr>
        <w:t xml:space="preserve">. However the schemes </w:t>
      </w:r>
      <w:r>
        <w:rPr>
          <w:rFonts w:ascii="Arial" w:hAnsi="Arial" w:cs="Arial"/>
          <w:sz w:val="24"/>
          <w:szCs w:val="24"/>
        </w:rPr>
        <w:t xml:space="preserve">being operated </w:t>
      </w:r>
      <w:r w:rsidRPr="003A2A02">
        <w:rPr>
          <w:rFonts w:ascii="Arial" w:hAnsi="Arial" w:cs="Arial"/>
          <w:sz w:val="24"/>
          <w:szCs w:val="24"/>
        </w:rPr>
        <w:t xml:space="preserve">were </w:t>
      </w:r>
      <w:r>
        <w:rPr>
          <w:rFonts w:ascii="Arial" w:hAnsi="Arial" w:cs="Arial"/>
          <w:sz w:val="24"/>
          <w:szCs w:val="24"/>
        </w:rPr>
        <w:t xml:space="preserve">initiated </w:t>
      </w:r>
      <w:r w:rsidRPr="003A2A02">
        <w:rPr>
          <w:rFonts w:ascii="Arial" w:hAnsi="Arial" w:cs="Arial"/>
          <w:sz w:val="24"/>
          <w:szCs w:val="24"/>
        </w:rPr>
        <w:t xml:space="preserve">before the pooled funding arrangements were implemented and the way the partners are </w:t>
      </w:r>
      <w:r>
        <w:rPr>
          <w:rFonts w:ascii="Arial" w:hAnsi="Arial" w:cs="Arial"/>
          <w:sz w:val="24"/>
          <w:szCs w:val="24"/>
        </w:rPr>
        <w:t xml:space="preserve">currently </w:t>
      </w:r>
      <w:r w:rsidRPr="003A2A02">
        <w:rPr>
          <w:rFonts w:ascii="Arial" w:hAnsi="Arial" w:cs="Arial"/>
          <w:sz w:val="24"/>
          <w:szCs w:val="24"/>
        </w:rPr>
        <w:t xml:space="preserve">delivering services </w:t>
      </w:r>
      <w:r>
        <w:rPr>
          <w:rFonts w:ascii="Arial" w:hAnsi="Arial" w:cs="Arial"/>
          <w:sz w:val="24"/>
          <w:szCs w:val="24"/>
        </w:rPr>
        <w:t>has not therefore changed yet as a result of the operation of the BCF.</w:t>
      </w:r>
    </w:p>
    <w:p w:rsidR="00674033" w:rsidRPr="00B05F6E" w:rsidP="00674033">
      <w:pPr>
        <w:pStyle w:val="ListParagraph"/>
        <w:spacing w:before="120" w:after="120" w:line="240" w:lineRule="auto"/>
        <w:ind w:left="567"/>
        <w:contextualSpacing w:val="0"/>
        <w:rPr>
          <w:rFonts w:ascii="Arial" w:hAnsi="Arial" w:cs="Arial"/>
          <w:sz w:val="24"/>
          <w:szCs w:val="24"/>
        </w:rPr>
      </w:pPr>
      <w:r w:rsidRPr="00B05F6E">
        <w:rPr>
          <w:rFonts w:ascii="Arial" w:eastAsia="Times New Roman" w:hAnsi="Arial" w:cs="Arial"/>
          <w:b/>
          <w:sz w:val="24"/>
          <w:szCs w:val="24"/>
          <w:lang w:eastAsia="en-GB"/>
        </w:rPr>
        <w:t>Accounting for the Pension Fund</w:t>
      </w:r>
      <w:r w:rsidRPr="00B05F6E">
        <w:rPr>
          <w:rFonts w:ascii="Arial" w:eastAsia="Times New Roman" w:hAnsi="Arial" w:cs="Arial"/>
          <w:sz w:val="24"/>
          <w:szCs w:val="24"/>
          <w:lang w:eastAsia="en-GB"/>
        </w:rPr>
        <w:t>: substantial assurance</w:t>
      </w:r>
    </w:p>
    <w:p w:rsidR="00435B1B" w:rsidP="00435B1B">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We found no sig</w:t>
      </w:r>
      <w:r>
        <w:rPr>
          <w:rFonts w:ascii="Arial" w:hAnsi="Arial" w:cs="Arial"/>
          <w:sz w:val="24"/>
          <w:szCs w:val="24"/>
        </w:rPr>
        <w:t xml:space="preserve">nificant issues. However we noted that there were officers with access to the general ledger who no longer require this access </w:t>
      </w:r>
      <w:r>
        <w:rPr>
          <w:rFonts w:ascii="Arial" w:hAnsi="Arial" w:cs="Arial"/>
          <w:sz w:val="24"/>
          <w:szCs w:val="24"/>
        </w:rPr>
        <w:t>since they have changed roles within the authority. We also noted that the balance on the sundry debtors account of £1.1 million had not</w:t>
      </w:r>
      <w:r>
        <w:rPr>
          <w:rFonts w:ascii="Arial" w:hAnsi="Arial" w:cs="Arial"/>
          <w:sz w:val="24"/>
          <w:szCs w:val="24"/>
        </w:rPr>
        <w:t xml:space="preserve"> been reconciled, as had been agreed during the previous audit.</w:t>
      </w:r>
    </w:p>
    <w:p w:rsidR="00435B1B">
      <w:pPr>
        <w:rPr>
          <w:rFonts w:ascii="Arial" w:hAnsi="Arial" w:cs="Arial"/>
          <w:sz w:val="24"/>
          <w:szCs w:val="24"/>
        </w:rPr>
      </w:pPr>
      <w:r>
        <w:rPr>
          <w:rFonts w:ascii="Arial" w:hAnsi="Arial" w:cs="Arial"/>
          <w:sz w:val="24"/>
          <w:szCs w:val="24"/>
        </w:rPr>
        <w:br w:type="page"/>
      </w:r>
    </w:p>
    <w:p w:rsidR="00B05F6E" w:rsidRPr="00B05F6E" w:rsidP="00B05F6E">
      <w:pPr>
        <w:pStyle w:val="ListParagraph"/>
        <w:spacing w:before="120" w:after="120" w:line="240" w:lineRule="auto"/>
        <w:ind w:left="567"/>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Oracle g</w:t>
      </w:r>
      <w:r w:rsidRPr="00B05F6E">
        <w:rPr>
          <w:rFonts w:ascii="Arial" w:eastAsia="Times New Roman" w:hAnsi="Arial" w:cs="Arial"/>
          <w:b/>
          <w:sz w:val="24"/>
          <w:szCs w:val="24"/>
          <w:lang w:eastAsia="en-GB"/>
        </w:rPr>
        <w:t>eneral ledger</w:t>
      </w:r>
      <w:r w:rsidRPr="00B05F6E">
        <w:rPr>
          <w:rFonts w:ascii="Arial" w:eastAsia="Times New Roman" w:hAnsi="Arial" w:cs="Arial"/>
          <w:sz w:val="24"/>
          <w:szCs w:val="24"/>
          <w:lang w:eastAsia="en-GB"/>
        </w:rPr>
        <w:t>:</w:t>
      </w:r>
      <w:r w:rsidRPr="00B05F6E">
        <w:rPr>
          <w:rFonts w:ascii="Arial" w:eastAsia="Times New Roman" w:hAnsi="Arial" w:cs="Arial"/>
          <w:b/>
          <w:sz w:val="24"/>
          <w:szCs w:val="24"/>
          <w:lang w:eastAsia="en-GB"/>
        </w:rPr>
        <w:t xml:space="preserve"> </w:t>
      </w:r>
      <w:r w:rsidRPr="00B05F6E">
        <w:rPr>
          <w:rFonts w:ascii="Arial" w:eastAsia="Times New Roman" w:hAnsi="Arial" w:cs="Arial"/>
          <w:sz w:val="24"/>
          <w:szCs w:val="24"/>
          <w:lang w:eastAsia="en-GB"/>
        </w:rPr>
        <w:t>substantial assurance</w:t>
      </w:r>
    </w:p>
    <w:p w:rsidR="00B05F6E" w:rsidP="00674033">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We </w:t>
      </w:r>
      <w:r w:rsidRPr="00B05F6E">
        <w:rPr>
          <w:rFonts w:ascii="Arial" w:hAnsi="Arial" w:cs="Arial"/>
          <w:sz w:val="24"/>
          <w:szCs w:val="24"/>
        </w:rPr>
        <w:t xml:space="preserve">identified </w:t>
      </w:r>
      <w:r>
        <w:rPr>
          <w:rFonts w:ascii="Arial" w:hAnsi="Arial" w:cs="Arial"/>
          <w:sz w:val="24"/>
          <w:szCs w:val="24"/>
        </w:rPr>
        <w:t xml:space="preserve">only </w:t>
      </w:r>
      <w:r w:rsidRPr="00B05F6E">
        <w:rPr>
          <w:rFonts w:ascii="Arial" w:hAnsi="Arial" w:cs="Arial"/>
          <w:sz w:val="24"/>
          <w:szCs w:val="24"/>
        </w:rPr>
        <w:t>one area where controls could be strengthened</w:t>
      </w:r>
      <w:r>
        <w:rPr>
          <w:rFonts w:ascii="Arial" w:hAnsi="Arial" w:cs="Arial"/>
          <w:sz w:val="24"/>
          <w:szCs w:val="24"/>
        </w:rPr>
        <w:t xml:space="preserve"> which is, again, </w:t>
      </w:r>
      <w:r w:rsidRPr="00B05F6E">
        <w:rPr>
          <w:rFonts w:ascii="Arial" w:hAnsi="Arial" w:cs="Arial"/>
          <w:sz w:val="24"/>
          <w:szCs w:val="24"/>
        </w:rPr>
        <w:t xml:space="preserve">the management of </w:t>
      </w:r>
      <w:r>
        <w:rPr>
          <w:rFonts w:ascii="Arial" w:hAnsi="Arial" w:cs="Arial"/>
          <w:sz w:val="24"/>
          <w:szCs w:val="24"/>
        </w:rPr>
        <w:t xml:space="preserve">system </w:t>
      </w:r>
      <w:r w:rsidRPr="00B05F6E">
        <w:rPr>
          <w:rFonts w:ascii="Arial" w:hAnsi="Arial" w:cs="Arial"/>
          <w:sz w:val="24"/>
          <w:szCs w:val="24"/>
        </w:rPr>
        <w:t xml:space="preserve">users </w:t>
      </w:r>
      <w:r>
        <w:rPr>
          <w:rFonts w:ascii="Arial" w:hAnsi="Arial" w:cs="Arial"/>
          <w:sz w:val="24"/>
          <w:szCs w:val="24"/>
        </w:rPr>
        <w:t xml:space="preserve">with </w:t>
      </w:r>
      <w:r w:rsidRPr="00B05F6E">
        <w:rPr>
          <w:rFonts w:ascii="Arial" w:hAnsi="Arial" w:cs="Arial"/>
          <w:sz w:val="24"/>
          <w:szCs w:val="24"/>
        </w:rPr>
        <w:t xml:space="preserve">access to the general ledger. Managers </w:t>
      </w:r>
      <w:r>
        <w:rPr>
          <w:rFonts w:ascii="Arial" w:hAnsi="Arial" w:cs="Arial"/>
          <w:sz w:val="24"/>
          <w:szCs w:val="24"/>
        </w:rPr>
        <w:t xml:space="preserve">should </w:t>
      </w:r>
      <w:r w:rsidRPr="00B05F6E">
        <w:rPr>
          <w:rFonts w:ascii="Arial" w:hAnsi="Arial" w:cs="Arial"/>
          <w:sz w:val="24"/>
          <w:szCs w:val="24"/>
        </w:rPr>
        <w:t xml:space="preserve">notify ICT </w:t>
      </w:r>
      <w:r>
        <w:rPr>
          <w:rFonts w:ascii="Arial" w:hAnsi="Arial" w:cs="Arial"/>
          <w:sz w:val="24"/>
          <w:szCs w:val="24"/>
        </w:rPr>
        <w:t xml:space="preserve">Services </w:t>
      </w:r>
      <w:r w:rsidRPr="00B05F6E">
        <w:rPr>
          <w:rFonts w:ascii="Arial" w:hAnsi="Arial" w:cs="Arial"/>
          <w:sz w:val="24"/>
          <w:szCs w:val="24"/>
        </w:rPr>
        <w:t xml:space="preserve">if staff transfer to another service or leave the </w:t>
      </w:r>
      <w:r>
        <w:rPr>
          <w:rFonts w:ascii="Arial" w:hAnsi="Arial" w:cs="Arial"/>
          <w:sz w:val="24"/>
          <w:szCs w:val="24"/>
        </w:rPr>
        <w:t>C</w:t>
      </w:r>
      <w:r w:rsidRPr="00B05F6E">
        <w:rPr>
          <w:rFonts w:ascii="Arial" w:hAnsi="Arial" w:cs="Arial"/>
          <w:sz w:val="24"/>
          <w:szCs w:val="24"/>
        </w:rPr>
        <w:t>ouncil</w:t>
      </w:r>
      <w:r>
        <w:rPr>
          <w:rFonts w:ascii="Arial" w:hAnsi="Arial" w:cs="Arial"/>
          <w:sz w:val="24"/>
          <w:szCs w:val="24"/>
        </w:rPr>
        <w:t xml:space="preserve"> but </w:t>
      </w:r>
      <w:r w:rsidRPr="00B05F6E">
        <w:rPr>
          <w:rFonts w:ascii="Arial" w:hAnsi="Arial" w:cs="Arial"/>
          <w:sz w:val="24"/>
          <w:szCs w:val="24"/>
        </w:rPr>
        <w:t xml:space="preserve">this does not always happen and staff retain access which they no longer need. This </w:t>
      </w:r>
      <w:r>
        <w:rPr>
          <w:rFonts w:ascii="Arial" w:hAnsi="Arial" w:cs="Arial"/>
          <w:sz w:val="24"/>
          <w:szCs w:val="24"/>
        </w:rPr>
        <w:t xml:space="preserve">issue </w:t>
      </w:r>
      <w:bookmarkStart w:id="0" w:name="_GoBack"/>
      <w:bookmarkEnd w:id="0"/>
      <w:r w:rsidRPr="00B05F6E">
        <w:rPr>
          <w:rFonts w:ascii="Arial" w:hAnsi="Arial" w:cs="Arial"/>
          <w:sz w:val="24"/>
          <w:szCs w:val="24"/>
        </w:rPr>
        <w:t>was a</w:t>
      </w:r>
      <w:r>
        <w:rPr>
          <w:rFonts w:ascii="Arial" w:hAnsi="Arial" w:cs="Arial"/>
          <w:sz w:val="24"/>
          <w:szCs w:val="24"/>
        </w:rPr>
        <w:t xml:space="preserve">lso </w:t>
      </w:r>
      <w:r w:rsidRPr="00B05F6E">
        <w:rPr>
          <w:rFonts w:ascii="Arial" w:hAnsi="Arial" w:cs="Arial"/>
          <w:sz w:val="24"/>
          <w:szCs w:val="24"/>
        </w:rPr>
        <w:t>i</w:t>
      </w:r>
      <w:r>
        <w:rPr>
          <w:rFonts w:ascii="Arial" w:hAnsi="Arial" w:cs="Arial"/>
          <w:sz w:val="24"/>
          <w:szCs w:val="24"/>
        </w:rPr>
        <w:t>dentified in the previous au</w:t>
      </w:r>
      <w:r>
        <w:rPr>
          <w:rFonts w:ascii="Arial" w:hAnsi="Arial" w:cs="Arial"/>
          <w:sz w:val="24"/>
          <w:szCs w:val="24"/>
        </w:rPr>
        <w:t>dit.</w:t>
      </w:r>
    </w:p>
    <w:p w:rsidR="00E259FA" w:rsidP="00E259FA">
      <w:pPr>
        <w:pStyle w:val="ListParagraph"/>
        <w:spacing w:before="120" w:after="120" w:line="240" w:lineRule="auto"/>
        <w:ind w:left="567"/>
        <w:contextualSpacing w:val="0"/>
        <w:rPr>
          <w:rFonts w:ascii="Arial" w:hAnsi="Arial" w:cs="Arial"/>
          <w:sz w:val="24"/>
          <w:szCs w:val="24"/>
        </w:rPr>
      </w:pPr>
      <w:r w:rsidRPr="00E259FA">
        <w:rPr>
          <w:rFonts w:ascii="Arial" w:hAnsi="Arial" w:cs="Arial"/>
          <w:b/>
          <w:sz w:val="24"/>
          <w:szCs w:val="24"/>
        </w:rPr>
        <w:t>Oversight of payroll payments</w:t>
      </w:r>
      <w:r>
        <w:rPr>
          <w:rFonts w:ascii="Arial" w:hAnsi="Arial" w:cs="Arial"/>
          <w:sz w:val="24"/>
          <w:szCs w:val="24"/>
        </w:rPr>
        <w:t xml:space="preserve">: </w:t>
      </w:r>
      <w:r w:rsidRPr="00B05F6E">
        <w:rPr>
          <w:rFonts w:ascii="Arial" w:eastAsia="Times New Roman" w:hAnsi="Arial" w:cs="Arial"/>
          <w:sz w:val="24"/>
          <w:szCs w:val="24"/>
          <w:lang w:eastAsia="en-GB"/>
        </w:rPr>
        <w:t>substantial assurance</w:t>
      </w:r>
    </w:p>
    <w:p w:rsidR="00B05F6E" w:rsidP="00674033">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We found no significant issues relating to oversight by the Council of the payroll transactions processed by BTLS although, as noted below, there are a number of matters for the Council to address i</w:t>
      </w:r>
      <w:r>
        <w:rPr>
          <w:rFonts w:ascii="Arial" w:hAnsi="Arial" w:cs="Arial"/>
          <w:sz w:val="24"/>
          <w:szCs w:val="24"/>
        </w:rPr>
        <w:t>n providing BTLS with the information they need, accurately, and in a timely manner.</w:t>
      </w:r>
    </w:p>
    <w:p w:rsidR="00E259FA" w:rsidP="0083569E">
      <w:pPr>
        <w:pStyle w:val="ListParagraph"/>
        <w:spacing w:before="120" w:after="120" w:line="240" w:lineRule="auto"/>
        <w:ind w:left="567"/>
        <w:contextualSpacing w:val="0"/>
        <w:rPr>
          <w:rFonts w:ascii="Arial" w:hAnsi="Arial" w:cs="Arial"/>
          <w:sz w:val="24"/>
          <w:szCs w:val="24"/>
        </w:rPr>
      </w:pPr>
      <w:r w:rsidRPr="0083569E">
        <w:rPr>
          <w:rFonts w:ascii="Arial" w:hAnsi="Arial" w:cs="Arial"/>
          <w:b/>
          <w:sz w:val="24"/>
          <w:szCs w:val="24"/>
        </w:rPr>
        <w:t>Payroll processing</w:t>
      </w:r>
      <w:r>
        <w:rPr>
          <w:rFonts w:ascii="Arial" w:hAnsi="Arial" w:cs="Arial"/>
          <w:b/>
          <w:sz w:val="24"/>
          <w:szCs w:val="24"/>
        </w:rPr>
        <w:t xml:space="preserve"> by BTLS</w:t>
      </w:r>
      <w:r>
        <w:rPr>
          <w:rFonts w:ascii="Arial" w:hAnsi="Arial" w:cs="Arial"/>
          <w:sz w:val="24"/>
          <w:szCs w:val="24"/>
        </w:rPr>
        <w:t>: full assurance</w:t>
      </w:r>
    </w:p>
    <w:p w:rsidR="00E259FA" w:rsidRPr="00AA3C17" w:rsidP="00674033">
      <w:pPr>
        <w:pStyle w:val="ListParagraph"/>
        <w:numPr>
          <w:ilvl w:val="1"/>
          <w:numId w:val="15"/>
        </w:numPr>
        <w:spacing w:before="120" w:after="120" w:line="240" w:lineRule="auto"/>
        <w:ind w:left="567" w:hanging="567"/>
        <w:contextualSpacing w:val="0"/>
        <w:rPr>
          <w:rFonts w:ascii="Arial" w:hAnsi="Arial" w:cs="Arial"/>
          <w:sz w:val="24"/>
          <w:szCs w:val="24"/>
        </w:rPr>
      </w:pPr>
      <w:r w:rsidRPr="00435B1B">
        <w:rPr>
          <w:rFonts w:ascii="Arial" w:hAnsi="Arial" w:cs="Arial"/>
          <w:sz w:val="24"/>
          <w:szCs w:val="24"/>
        </w:rPr>
        <w:t xml:space="preserve">We found no issues and only good practice in the systems by which BTLS processes the </w:t>
      </w:r>
      <w:r>
        <w:rPr>
          <w:rFonts w:ascii="Arial" w:hAnsi="Arial" w:cs="Arial"/>
          <w:sz w:val="24"/>
          <w:szCs w:val="24"/>
        </w:rPr>
        <w:t>C</w:t>
      </w:r>
      <w:r w:rsidRPr="00435B1B">
        <w:rPr>
          <w:rFonts w:ascii="Arial" w:hAnsi="Arial" w:cs="Arial"/>
          <w:sz w:val="24"/>
          <w:szCs w:val="24"/>
        </w:rPr>
        <w:t xml:space="preserve">ouncil's payroll. </w:t>
      </w:r>
      <w:r>
        <w:rPr>
          <w:rFonts w:ascii="Arial" w:hAnsi="Arial" w:cs="Arial"/>
          <w:sz w:val="24"/>
          <w:szCs w:val="24"/>
        </w:rPr>
        <w:t>H</w:t>
      </w:r>
      <w:r w:rsidRPr="00435B1B">
        <w:rPr>
          <w:rFonts w:ascii="Arial" w:hAnsi="Arial" w:cs="Arial"/>
          <w:sz w:val="24"/>
          <w:szCs w:val="24"/>
        </w:rPr>
        <w:t xml:space="preserve">owever </w:t>
      </w:r>
      <w:r>
        <w:rPr>
          <w:rFonts w:ascii="Arial" w:hAnsi="Arial" w:cs="Arial"/>
          <w:sz w:val="24"/>
          <w:szCs w:val="24"/>
        </w:rPr>
        <w:t>t</w:t>
      </w:r>
      <w:r w:rsidRPr="00435B1B">
        <w:rPr>
          <w:rFonts w:ascii="Arial" w:hAnsi="Arial" w:cs="Arial"/>
          <w:sz w:val="24"/>
          <w:szCs w:val="24"/>
        </w:rPr>
        <w:t>here are some p</w:t>
      </w:r>
      <w:r w:rsidRPr="00435B1B">
        <w:rPr>
          <w:rFonts w:ascii="Arial" w:hAnsi="Arial" w:cs="Arial"/>
          <w:sz w:val="24"/>
          <w:szCs w:val="24"/>
        </w:rPr>
        <w:t xml:space="preserve">roblems in the data provided </w:t>
      </w:r>
      <w:r>
        <w:rPr>
          <w:rFonts w:ascii="Arial" w:hAnsi="Arial" w:cs="Arial"/>
          <w:sz w:val="24"/>
          <w:szCs w:val="24"/>
        </w:rPr>
        <w:t>to</w:t>
      </w:r>
      <w:r w:rsidRPr="00435B1B">
        <w:rPr>
          <w:rFonts w:ascii="Arial" w:hAnsi="Arial" w:cs="Arial"/>
          <w:sz w:val="24"/>
          <w:szCs w:val="24"/>
        </w:rPr>
        <w:t xml:space="preserve"> BTLS by the </w:t>
      </w:r>
      <w:r>
        <w:rPr>
          <w:rFonts w:ascii="Arial" w:hAnsi="Arial" w:cs="Arial"/>
          <w:sz w:val="24"/>
          <w:szCs w:val="24"/>
        </w:rPr>
        <w:t>C</w:t>
      </w:r>
      <w:r w:rsidRPr="00435B1B">
        <w:rPr>
          <w:rFonts w:ascii="Arial" w:hAnsi="Arial" w:cs="Arial"/>
          <w:sz w:val="24"/>
          <w:szCs w:val="24"/>
        </w:rPr>
        <w:t xml:space="preserve">ouncil. </w:t>
      </w:r>
      <w:r>
        <w:rPr>
          <w:rFonts w:ascii="Arial" w:hAnsi="Arial" w:cs="Arial"/>
          <w:sz w:val="24"/>
          <w:szCs w:val="24"/>
        </w:rPr>
        <w:t>I</w:t>
      </w:r>
      <w:r w:rsidRPr="00435B1B">
        <w:rPr>
          <w:rFonts w:ascii="Arial" w:eastAsia="Times New Roman" w:hAnsi="Arial" w:cs="Arial"/>
          <w:lang w:eastAsia="en-GB"/>
        </w:rPr>
        <w:t xml:space="preserve">n particular it is clear that salary overpayments are routinely made as officers leave the organisation, partly due to late notification by the </w:t>
      </w:r>
      <w:r>
        <w:rPr>
          <w:rFonts w:ascii="Arial" w:eastAsia="Times New Roman" w:hAnsi="Arial" w:cs="Arial"/>
          <w:lang w:eastAsia="en-GB"/>
        </w:rPr>
        <w:t>C</w:t>
      </w:r>
      <w:r w:rsidRPr="00435B1B">
        <w:rPr>
          <w:rFonts w:ascii="Arial" w:eastAsia="Times New Roman" w:hAnsi="Arial" w:cs="Arial"/>
          <w:lang w:eastAsia="en-GB"/>
        </w:rPr>
        <w:t xml:space="preserve">ouncil's managers of payroll adjustments as staff leave, and partly due to late adjustments to annual leave and other entitlements after officers have left. Further, the volume of these is resulting in delays </w:t>
      </w:r>
      <w:r>
        <w:rPr>
          <w:rFonts w:ascii="Arial" w:eastAsia="Times New Roman" w:hAnsi="Arial" w:cs="Arial"/>
          <w:lang w:eastAsia="en-GB"/>
        </w:rPr>
        <w:t xml:space="preserve">within BTLS </w:t>
      </w:r>
      <w:r w:rsidRPr="00435B1B">
        <w:rPr>
          <w:rFonts w:ascii="Arial" w:eastAsia="Times New Roman" w:hAnsi="Arial" w:cs="Arial"/>
          <w:lang w:eastAsia="en-GB"/>
        </w:rPr>
        <w:t>in raising invoices to former emplo</w:t>
      </w:r>
      <w:r w:rsidRPr="00435B1B">
        <w:rPr>
          <w:rFonts w:ascii="Arial" w:eastAsia="Times New Roman" w:hAnsi="Arial" w:cs="Arial"/>
          <w:lang w:eastAsia="en-GB"/>
        </w:rPr>
        <w:t>yees.</w:t>
      </w:r>
    </w:p>
    <w:p w:rsidR="00AA3C17" w:rsidRPr="00AA3C17" w:rsidP="00AA3C17">
      <w:pPr>
        <w:spacing w:before="120" w:after="120" w:line="240" w:lineRule="auto"/>
        <w:rPr>
          <w:rFonts w:ascii="Arial" w:hAnsi="Arial" w:cs="Arial"/>
          <w:sz w:val="24"/>
          <w:szCs w:val="24"/>
        </w:rPr>
      </w:pPr>
    </w:p>
    <w:sectPr w:rsidSect="002B67FF">
      <w:headerReference w:type="default" r:id="rId5"/>
      <w:footerReference w:type="default" r:id="rId6"/>
      <w:headerReference w:type="first" r:id="rId7"/>
      <w:footerReference w:type="first" r:id="rId8"/>
      <w:pgSz w:w="11906" w:h="16838" w:code="9"/>
      <w:pgMar w:top="1440" w:right="993"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4"/>
        <w:szCs w:val="24"/>
      </w:rPr>
      <w:id w:val="1493213156"/>
      <w:docPartObj>
        <w:docPartGallery w:val="Page Numbers (Bottom of Page)"/>
        <w:docPartUnique/>
      </w:docPartObj>
    </w:sdtPr>
    <w:sdtEndPr>
      <w:rPr>
        <w:noProof/>
      </w:rPr>
    </w:sdtEndPr>
    <w:sdtContent>
      <w:p w:rsidR="002B67FF" w:rsidRPr="00587C23">
        <w:pPr>
          <w:pStyle w:val="Footer"/>
          <w:jc w:val="right"/>
          <w:rPr>
            <w:rFonts w:ascii="Arial" w:hAnsi="Arial" w:cs="Arial"/>
            <w:sz w:val="24"/>
            <w:szCs w:val="24"/>
          </w:rPr>
        </w:pPr>
        <w:r w:rsidRPr="00587C23">
          <w:rPr>
            <w:rFonts w:ascii="Arial" w:hAnsi="Arial" w:cs="Arial"/>
            <w:sz w:val="24"/>
            <w:szCs w:val="24"/>
          </w:rPr>
          <w:t xml:space="preserve">Appendix A: </w:t>
        </w:r>
        <w:r w:rsidRPr="00587C23">
          <w:rPr>
            <w:rFonts w:ascii="Arial" w:hAnsi="Arial" w:cs="Arial"/>
            <w:sz w:val="24"/>
            <w:szCs w:val="24"/>
          </w:rPr>
          <w:fldChar w:fldCharType="begin"/>
        </w:r>
        <w:r w:rsidRPr="00587C23">
          <w:rPr>
            <w:rFonts w:ascii="Arial" w:hAnsi="Arial" w:cs="Arial"/>
            <w:sz w:val="24"/>
            <w:szCs w:val="24"/>
          </w:rPr>
          <w:instrText xml:space="preserve"> PAGE   \* MERGEFORMAT </w:instrText>
        </w:r>
        <w:r w:rsidRPr="00587C23">
          <w:rPr>
            <w:rFonts w:ascii="Arial" w:hAnsi="Arial" w:cs="Arial"/>
            <w:sz w:val="24"/>
            <w:szCs w:val="24"/>
          </w:rPr>
          <w:fldChar w:fldCharType="separate"/>
        </w:r>
        <w:r>
          <w:rPr>
            <w:rFonts w:ascii="Arial" w:hAnsi="Arial" w:cs="Arial"/>
            <w:noProof/>
            <w:sz w:val="24"/>
            <w:szCs w:val="24"/>
          </w:rPr>
          <w:t>4</w:t>
        </w:r>
        <w:r w:rsidRPr="00587C23">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6928605"/>
      <w:docPartObj>
        <w:docPartGallery w:val="Page Numbers (Bottom of Page)"/>
        <w:docPartUnique/>
      </w:docPartObj>
    </w:sdtPr>
    <w:sdtEndPr>
      <w:rPr>
        <w:rFonts w:ascii="Arial" w:hAnsi="Arial" w:cs="Arial"/>
        <w:noProof/>
        <w:sz w:val="24"/>
        <w:szCs w:val="24"/>
      </w:rPr>
    </w:sdtEndPr>
    <w:sdtContent>
      <w:p w:rsidR="002B67FF" w:rsidRPr="002B67FF" w:rsidP="002B67FF">
        <w:pPr>
          <w:pStyle w:val="Footer"/>
          <w:jc w:val="right"/>
          <w:rPr>
            <w:rFonts w:ascii="Arial" w:hAnsi="Arial" w:cs="Arial"/>
            <w:sz w:val="24"/>
            <w:szCs w:val="24"/>
          </w:rPr>
        </w:pPr>
        <w:r w:rsidRPr="002B67FF">
          <w:rPr>
            <w:rFonts w:ascii="Arial" w:hAnsi="Arial" w:cs="Arial"/>
            <w:sz w:val="24"/>
            <w:szCs w:val="24"/>
          </w:rPr>
          <w:fldChar w:fldCharType="begin"/>
        </w:r>
        <w:r w:rsidRPr="002B67FF">
          <w:rPr>
            <w:rFonts w:ascii="Arial" w:hAnsi="Arial" w:cs="Arial"/>
            <w:sz w:val="24"/>
            <w:szCs w:val="24"/>
          </w:rPr>
          <w:instrText xml:space="preserve"> PAGE   \* MERGEFORMAT </w:instrText>
        </w:r>
        <w:r w:rsidRPr="002B67FF">
          <w:rPr>
            <w:rFonts w:ascii="Arial" w:hAnsi="Arial" w:cs="Arial"/>
            <w:sz w:val="24"/>
            <w:szCs w:val="24"/>
          </w:rPr>
          <w:fldChar w:fldCharType="separate"/>
        </w:r>
        <w:r w:rsidR="00CC7DF1">
          <w:rPr>
            <w:rFonts w:ascii="Arial" w:hAnsi="Arial" w:cs="Arial"/>
            <w:noProof/>
            <w:sz w:val="24"/>
            <w:szCs w:val="24"/>
          </w:rPr>
          <w:t>1</w:t>
        </w:r>
        <w:r w:rsidRPr="002B67FF">
          <w:rPr>
            <w:rFonts w:ascii="Arial" w:hAnsi="Arial" w:cs="Arial"/>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7FF" w:rsidRPr="002B67FF">
    <w:pPr>
      <w:pStyle w:val="Header"/>
      <w:rPr>
        <w:sz w:val="20"/>
        <w:szCs w:val="20"/>
      </w:rPr>
    </w:pPr>
    <w:r w:rsidRPr="002B67FF">
      <w:rPr>
        <w:rFonts w:ascii="Arial" w:hAnsi="Arial" w:cs="Arial"/>
        <w:b/>
        <w:sz w:val="20"/>
        <w:szCs w:val="20"/>
      </w:rPr>
      <w:t>Internal Audit Service progress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C23" w:rsidRPr="00587C23" w:rsidP="00587C23">
    <w:pPr>
      <w:pStyle w:val="Header"/>
      <w:jc w:val="right"/>
      <w:rPr>
        <w:rFonts w:ascii="Arial" w:hAnsi="Arial" w:cs="Arial"/>
        <w:b/>
        <w:sz w:val="24"/>
        <w:szCs w:val="24"/>
      </w:rPr>
    </w:pPr>
    <w:r w:rsidRPr="00587C23">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nsid w:val="FFFFFF81"/>
    <w:multiLevelType w:val="singleLevel"/>
    <w:tmpl w:val="58123E7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1252480"/>
    <w:multiLevelType w:val="hybridMultilevel"/>
    <w:tmpl w:val="083069E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03FF0CC3"/>
    <w:multiLevelType w:val="hybridMultilevel"/>
    <w:tmpl w:val="81FC2F00"/>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4">
    <w:nsid w:val="0AC60217"/>
    <w:multiLevelType w:val="hybridMultilevel"/>
    <w:tmpl w:val="AD5C2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CE6513"/>
    <w:multiLevelType w:val="hybridMultilevel"/>
    <w:tmpl w:val="B0B0E5C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
    <w:nsid w:val="14356A22"/>
    <w:multiLevelType w:val="hybridMultilevel"/>
    <w:tmpl w:val="C7080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AE1D1B"/>
    <w:multiLevelType w:val="hybridMultilevel"/>
    <w:tmpl w:val="9320CF78"/>
    <w:lvl w:ilvl="0">
      <w:start w:val="1"/>
      <w:numFmt w:val="bullet"/>
      <w:lvlText w:val=""/>
      <w:lvlJc w:val="left"/>
      <w:pPr>
        <w:ind w:left="1353" w:hanging="360"/>
      </w:pPr>
      <w:rPr>
        <w:rFonts w:ascii="Symbol" w:hAnsi="Symbol" w:hint="default"/>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8">
    <w:nsid w:val="198F3DED"/>
    <w:multiLevelType w:val="hybridMultilevel"/>
    <w:tmpl w:val="D2A6BB5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1C7975DB"/>
    <w:multiLevelType w:val="hybridMultilevel"/>
    <w:tmpl w:val="5D32C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E5317D0"/>
    <w:multiLevelType w:val="hybridMultilevel"/>
    <w:tmpl w:val="83385C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F009F3"/>
    <w:multiLevelType w:val="hybridMultilevel"/>
    <w:tmpl w:val="D186BC3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FF930E3"/>
    <w:multiLevelType w:val="multilevel"/>
    <w:tmpl w:val="F95600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B66DD"/>
    <w:multiLevelType w:val="hybridMultilevel"/>
    <w:tmpl w:val="E5B62E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34899"/>
    <w:multiLevelType w:val="hybridMultilevel"/>
    <w:tmpl w:val="B85C1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BF497D"/>
    <w:multiLevelType w:val="hybridMultilevel"/>
    <w:tmpl w:val="146A96CC"/>
    <w:lvl w:ilvl="0">
      <w:start w:val="1"/>
      <w:numFmt w:val="bullet"/>
      <w:lvlText w:val=""/>
      <w:lvlJc w:val="left"/>
      <w:pPr>
        <w:ind w:left="135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12050A1"/>
    <w:multiLevelType w:val="hybridMultilevel"/>
    <w:tmpl w:val="03FC565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1">
    <w:nsid w:val="65181484"/>
    <w:multiLevelType w:val="hybridMultilevel"/>
    <w:tmpl w:val="7E806872"/>
    <w:lvl w:ilvl="0">
      <w:start w:val="1"/>
      <w:numFmt w:val="bullet"/>
      <w:lvlText w:val=""/>
      <w:lvlJc w:val="left"/>
      <w:pPr>
        <w:ind w:left="1077" w:hanging="360"/>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22">
    <w:nsid w:val="6B2E10AC"/>
    <w:multiLevelType w:val="multilevel"/>
    <w:tmpl w:val="7AD2631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EA906D6"/>
    <w:multiLevelType w:val="hybridMultilevel"/>
    <w:tmpl w:val="C4104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7B015E"/>
    <w:multiLevelType w:val="hybridMultilevel"/>
    <w:tmpl w:val="A008FEA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29B0689"/>
    <w:multiLevelType w:val="hybridMultilevel"/>
    <w:tmpl w:val="DC36C4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AF2B15"/>
    <w:multiLevelType w:val="hybridMultilevel"/>
    <w:tmpl w:val="03D8C8FA"/>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9">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2A4CA8"/>
    <w:multiLevelType w:val="hybridMultilevel"/>
    <w:tmpl w:val="20A0FF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BF54B4"/>
    <w:multiLevelType w:val="hybridMultilevel"/>
    <w:tmpl w:val="8C308B00"/>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2">
    <w:nsid w:val="7E3747F9"/>
    <w:multiLevelType w:val="hybridMultilevel"/>
    <w:tmpl w:val="4404BD8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9"/>
  </w:num>
  <w:num w:numId="4">
    <w:abstractNumId w:val="10"/>
  </w:num>
  <w:num w:numId="5">
    <w:abstractNumId w:val="27"/>
  </w:num>
  <w:num w:numId="6">
    <w:abstractNumId w:val="25"/>
  </w:num>
  <w:num w:numId="7">
    <w:abstractNumId w:val="13"/>
  </w:num>
  <w:num w:numId="8">
    <w:abstractNumId w:val="23"/>
  </w:num>
  <w:num w:numId="9">
    <w:abstractNumId w:val="21"/>
  </w:num>
  <w:num w:numId="10">
    <w:abstractNumId w:val="0"/>
  </w:num>
  <w:num w:numId="11">
    <w:abstractNumId w:val="14"/>
  </w:num>
  <w:num w:numId="12">
    <w:abstractNumId w:val="9"/>
  </w:num>
  <w:num w:numId="13">
    <w:abstractNumId w:val="26"/>
  </w:num>
  <w:num w:numId="14">
    <w:abstractNumId w:val="11"/>
  </w:num>
  <w:num w:numId="15">
    <w:abstractNumId w:val="15"/>
  </w:num>
  <w:num w:numId="16">
    <w:abstractNumId w:val="20"/>
  </w:num>
  <w:num w:numId="17">
    <w:abstractNumId w:val="17"/>
  </w:num>
  <w:num w:numId="18">
    <w:abstractNumId w:val="29"/>
  </w:num>
  <w:num w:numId="19">
    <w:abstractNumId w:val="1"/>
  </w:num>
  <w:num w:numId="20">
    <w:abstractNumId w:val="3"/>
  </w:num>
  <w:num w:numId="21">
    <w:abstractNumId w:val="7"/>
  </w:num>
  <w:num w:numId="22">
    <w:abstractNumId w:val="18"/>
  </w:num>
  <w:num w:numId="23">
    <w:abstractNumId w:val="12"/>
  </w:num>
  <w:num w:numId="24">
    <w:abstractNumId w:val="22"/>
  </w:num>
  <w:num w:numId="25">
    <w:abstractNumId w:val="28"/>
  </w:num>
  <w:num w:numId="26">
    <w:abstractNumId w:val="4"/>
  </w:num>
  <w:num w:numId="27">
    <w:abstractNumId w:val="5"/>
  </w:num>
  <w:num w:numId="28">
    <w:abstractNumId w:val="2"/>
  </w:num>
  <w:num w:numId="29">
    <w:abstractNumId w:val="30"/>
  </w:num>
  <w:num w:numId="30">
    <w:abstractNumId w:val="31"/>
  </w:num>
  <w:num w:numId="31">
    <w:abstractNumId w:val="16"/>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1E4AB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paragraph" w:customStyle="1" w:styleId="Pa8">
    <w:name w:val="Pa8"/>
    <w:basedOn w:val="Default"/>
    <w:next w:val="Default"/>
    <w:uiPriority w:val="99"/>
    <w:rsid w:val="00130407"/>
    <w:pPr>
      <w:spacing w:line="191" w:lineRule="atLeast"/>
    </w:pPr>
    <w:rPr>
      <w:rFonts w:cstheme="minorBidi"/>
      <w:color w:val="auto"/>
    </w:rPr>
  </w:style>
  <w:style w:type="character" w:customStyle="1" w:styleId="Heading1Char">
    <w:name w:val="Heading 1 Char"/>
    <w:basedOn w:val="DefaultParagraphFont"/>
    <w:link w:val="Heading1"/>
    <w:uiPriority w:val="99"/>
    <w:rsid w:val="001E4AB6"/>
    <w:rPr>
      <w:rFonts w:ascii="Arial" w:eastAsia="Times New Roman" w:hAnsi="Arial" w:cs="Arial"/>
      <w:b/>
      <w:bCs/>
      <w:kern w:val="32"/>
      <w:sz w:val="32"/>
      <w:szCs w:val="32"/>
      <w:lang w:eastAsia="en-GB"/>
    </w:rPr>
  </w:style>
  <w:style w:type="character" w:styleId="Hyperlink">
    <w:name w:val="Hyperlink"/>
    <w:basedOn w:val="DefaultParagraphFont"/>
    <w:uiPriority w:val="99"/>
    <w:unhideWhenUsed/>
    <w:rsid w:val="009955D4"/>
    <w:rPr>
      <w:color w:val="0563C1" w:themeColor="hyperlink"/>
      <w:u w:val="single"/>
    </w:rPr>
  </w:style>
  <w:style w:type="character" w:styleId="FollowedHyperlink">
    <w:name w:val="FollowedHyperlink"/>
    <w:basedOn w:val="DefaultParagraphFont"/>
    <w:uiPriority w:val="99"/>
    <w:semiHidden/>
    <w:unhideWhenUsed/>
    <w:rsid w:val="009955D4"/>
    <w:rPr>
      <w:color w:val="954F72" w:themeColor="followedHyperlink"/>
      <w:u w:val="single"/>
    </w:rPr>
  </w:style>
  <w:style w:type="numbering" w:customStyle="1" w:styleId="Ruthslist">
    <w:name w:val="Ruth's list"/>
    <w:uiPriority w:val="99"/>
    <w:rsid w:val="005E72D1"/>
    <w:pPr>
      <w:numPr>
        <w:numId w:val="17"/>
      </w:numPr>
    </w:pPr>
  </w:style>
  <w:style w:type="paragraph" w:styleId="ListBullet4">
    <w:name w:val="List Bullet 4"/>
    <w:basedOn w:val="Normal"/>
    <w:semiHidden/>
    <w:unhideWhenUsed/>
    <w:rsid w:val="005E72D1"/>
    <w:pPr>
      <w:numPr>
        <w:numId w:val="19"/>
      </w:numPr>
      <w:spacing w:before="120" w:after="120" w:line="240" w:lineRule="auto"/>
      <w:contextualSpacing/>
    </w:pPr>
    <w:rPr>
      <w:rFonts w:ascii="Arial" w:eastAsia="Times New Roman" w:hAnsi="Arial" w:cs="Times New Roman"/>
      <w:sz w:val="24"/>
      <w:szCs w:val="24"/>
      <w:lang w:eastAsia="en-GB"/>
    </w:rPr>
  </w:style>
  <w:style w:type="paragraph" w:styleId="NormalWeb">
    <w:name w:val="Normal (Web)"/>
    <w:basedOn w:val="Normal"/>
    <w:uiPriority w:val="99"/>
    <w:rsid w:val="005E1197"/>
    <w:pPr>
      <w:spacing w:before="240" w:after="24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E68C-5CFD-4E19-8FE4-1AE4BC8D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24</cp:revision>
  <cp:lastPrinted>2017-01-11T08:16:00Z</cp:lastPrinted>
  <dcterms:created xsi:type="dcterms:W3CDTF">2017-02-28T15:14:00Z</dcterms:created>
  <dcterms:modified xsi:type="dcterms:W3CDTF">2017-03-20T09:48:00Z</dcterms:modified>
</cp:coreProperties>
</file>